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vernacular    </w:t>
      </w:r>
      <w:r>
        <w:t xml:space="preserve">   perspective    </w:t>
      </w:r>
      <w:r>
        <w:t xml:space="preserve">   patron    </w:t>
      </w:r>
      <w:r>
        <w:t xml:space="preserve">   secular    </w:t>
      </w:r>
      <w:r>
        <w:t xml:space="preserve">   humanism    </w:t>
      </w:r>
      <w:r>
        <w:t xml:space="preserve">   renaissance    </w:t>
      </w:r>
      <w:r>
        <w:t xml:space="preserve">   medici family    </w:t>
      </w:r>
      <w:r>
        <w:t xml:space="preserve">   francesco perrarch    </w:t>
      </w:r>
      <w:r>
        <w:t xml:space="preserve">   black death    </w:t>
      </w:r>
      <w:r>
        <w:t xml:space="preserve">   middle 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renaissance </dc:title>
  <dcterms:created xsi:type="dcterms:W3CDTF">2021-10-11T06:34:11Z</dcterms:created>
  <dcterms:modified xsi:type="dcterms:W3CDTF">2021-10-11T06:34:11Z</dcterms:modified>
</cp:coreProperties>
</file>