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Facial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levator anguli oris    </w:t>
      </w:r>
      <w:r>
        <w:t xml:space="preserve">   superioris alaeque nasi    </w:t>
      </w:r>
      <w:r>
        <w:t xml:space="preserve">   levator labii superioris    </w:t>
      </w:r>
      <w:r>
        <w:t xml:space="preserve">   depressor labii inferioris    </w:t>
      </w:r>
      <w:r>
        <w:t xml:space="preserve">   depressor anguli oris    </w:t>
      </w:r>
      <w:r>
        <w:t xml:space="preserve">   lateral pterygoid    </w:t>
      </w:r>
      <w:r>
        <w:t xml:space="preserve">   medial pterygoid    </w:t>
      </w:r>
      <w:r>
        <w:t xml:space="preserve">   buccinator    </w:t>
      </w:r>
      <w:r>
        <w:t xml:space="preserve">   risorius    </w:t>
      </w:r>
      <w:r>
        <w:t xml:space="preserve">   corrugator supercilii    </w:t>
      </w:r>
      <w:r>
        <w:t xml:space="preserve">   procerus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muscles</dc:title>
  <dcterms:created xsi:type="dcterms:W3CDTF">2021-10-11T06:41:13Z</dcterms:created>
  <dcterms:modified xsi:type="dcterms:W3CDTF">2021-10-11T06:41:13Z</dcterms:modified>
</cp:coreProperties>
</file>