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worldwide destination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economic factors    </w:t>
      </w:r>
      <w:r>
        <w:t xml:space="preserve">   political factors    </w:t>
      </w:r>
      <w:r>
        <w:t xml:space="preserve">   tourist infrastructure    </w:t>
      </w:r>
      <w:r>
        <w:t xml:space="preserve">   natural environment    </w:t>
      </w:r>
      <w:r>
        <w:t xml:space="preserve">   history and art    </w:t>
      </w:r>
      <w:r>
        <w:t xml:space="preserve">   business    </w:t>
      </w:r>
      <w:r>
        <w:t xml:space="preserve">   leisure and recreation    </w:t>
      </w:r>
      <w:r>
        <w:t xml:space="preserve">   relaxation    </w:t>
      </w:r>
      <w:r>
        <w:t xml:space="preserve">   Natural resources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worldwide destination</dc:title>
  <dcterms:created xsi:type="dcterms:W3CDTF">2021-10-11T06:54:29Z</dcterms:created>
  <dcterms:modified xsi:type="dcterms:W3CDTF">2021-10-11T06:54:29Z</dcterms:modified>
</cp:coreProperties>
</file>