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SEC    </w:t>
      </w:r>
      <w:r>
        <w:t xml:space="preserve">   Initial Public Offering IPO    </w:t>
      </w:r>
      <w:r>
        <w:t xml:space="preserve">   Financial Risk    </w:t>
      </w:r>
      <w:r>
        <w:t xml:space="preserve">   Profit and Loss Statement    </w:t>
      </w:r>
      <w:r>
        <w:t xml:space="preserve">   Expense    </w:t>
      </w:r>
      <w:r>
        <w:t xml:space="preserve">   Revenue    </w:t>
      </w:r>
      <w:r>
        <w:t xml:space="preserve">   Debt Ratio    </w:t>
      </w:r>
      <w:r>
        <w:t xml:space="preserve">   Balance Sheet    </w:t>
      </w:r>
      <w:r>
        <w:t xml:space="preserve">   Liability    </w:t>
      </w:r>
      <w:r>
        <w:t xml:space="preserve">   Asset    </w:t>
      </w:r>
      <w:r>
        <w:t xml:space="preserve">   Equity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2021-10-11T07:02:26Z</dcterms:created>
  <dcterms:modified xsi:type="dcterms:W3CDTF">2021-10-11T07:02:26Z</dcterms:modified>
</cp:coreProperties>
</file>