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Financial Statements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Capital.    </w:t>
      </w:r>
      <w:r>
        <w:t xml:space="preserve">   creditors.    </w:t>
      </w:r>
      <w:r>
        <w:t xml:space="preserve">   current assets.    </w:t>
      </w:r>
      <w:r>
        <w:t xml:space="preserve">   Current liabilities    </w:t>
      </w:r>
      <w:r>
        <w:t xml:space="preserve">   Debtors    </w:t>
      </w:r>
      <w:r>
        <w:t xml:space="preserve">   Fixed assets    </w:t>
      </w:r>
      <w:r>
        <w:t xml:space="preserve">   Gross profit    </w:t>
      </w:r>
      <w:r>
        <w:t xml:space="preserve">   long-term liabilities.    </w:t>
      </w:r>
      <w:r>
        <w:t xml:space="preserve">   Net current assets.    </w:t>
      </w:r>
      <w:r>
        <w:t xml:space="preserve">   Turnover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Statements </dc:title>
  <dcterms:created xsi:type="dcterms:W3CDTF">2021-10-11T07:02:56Z</dcterms:created>
  <dcterms:modified xsi:type="dcterms:W3CDTF">2021-10-11T07:02:56Z</dcterms:modified>
</cp:coreProperties>
</file>