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Finite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FICO    </w:t>
      </w:r>
      <w:r>
        <w:t xml:space="preserve">   Liquidation    </w:t>
      </w:r>
      <w:r>
        <w:t xml:space="preserve">   Bankruptcy    </w:t>
      </w:r>
      <w:r>
        <w:t xml:space="preserve">   Principal    </w:t>
      </w:r>
      <w:r>
        <w:t xml:space="preserve">   Collateral    </w:t>
      </w:r>
      <w:r>
        <w:t xml:space="preserve">   Capital    </w:t>
      </w:r>
      <w:r>
        <w:t xml:space="preserve">   APR    </w:t>
      </w:r>
      <w:r>
        <w:t xml:space="preserve">   Predatory Lending    </w:t>
      </w:r>
      <w:r>
        <w:t xml:space="preserve">   Creditor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Finite Math </dc:title>
  <dcterms:created xsi:type="dcterms:W3CDTF">2021-10-11T07:06:30Z</dcterms:created>
  <dcterms:modified xsi:type="dcterms:W3CDTF">2021-10-11T07:06:30Z</dcterms:modified>
</cp:coreProperties>
</file>