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Business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Capital Corp    </w:t>
      </w:r>
      <w:r>
        <w:t xml:space="preserve">   Client Services    </w:t>
      </w:r>
      <w:r>
        <w:t xml:space="preserve">   Commercial    </w:t>
      </w:r>
      <w:r>
        <w:t xml:space="preserve">   Credit    </w:t>
      </w:r>
      <w:r>
        <w:t xml:space="preserve">   Growth Funding    </w:t>
      </w:r>
      <w:r>
        <w:t xml:space="preserve">   Operations    </w:t>
      </w:r>
      <w:r>
        <w:t xml:space="preserve">   Private Wealth    </w:t>
      </w:r>
      <w:r>
        <w:t xml:space="preserve">   Real Estate    </w:t>
      </w:r>
      <w:r>
        <w:t xml:space="preserve">   SBA Lending    </w:t>
      </w:r>
      <w:r>
        <w:t xml:space="preserve">   Shared Services    </w:t>
      </w:r>
      <w:r>
        <w:t xml:space="preserve">   Treasury    </w:t>
      </w:r>
      <w:r>
        <w:t xml:space="preserve">   Trust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Business</dc:title>
  <dcterms:created xsi:type="dcterms:W3CDTF">2021-10-11T07:08:51Z</dcterms:created>
  <dcterms:modified xsi:type="dcterms:W3CDTF">2021-10-11T07:08:51Z</dcterms:modified>
</cp:coreProperties>
</file>