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Fiscal Policy and Taxation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Private Sector    </w:t>
      </w:r>
      <w:r>
        <w:t xml:space="preserve">   Subsidy    </w:t>
      </w:r>
      <w:r>
        <w:t xml:space="preserve">   Build    </w:t>
      </w:r>
      <w:r>
        <w:t xml:space="preserve">   Minimum wage    </w:t>
      </w:r>
      <w:r>
        <w:t xml:space="preserve">   Tax Bracket    </w:t>
      </w:r>
      <w:r>
        <w:t xml:space="preserve">   High Income    </w:t>
      </w:r>
      <w:r>
        <w:t xml:space="preserve">   Low Income    </w:t>
      </w:r>
      <w:r>
        <w:t xml:space="preserve">   Exemption    </w:t>
      </w:r>
      <w:r>
        <w:t xml:space="preserve">   Inflation    </w:t>
      </w:r>
      <w:r>
        <w:t xml:space="preserve">   National Budget    </w:t>
      </w:r>
      <w:r>
        <w:t xml:space="preserve">   Fiscal Policy    </w:t>
      </w:r>
      <w:r>
        <w:t xml:space="preserve">   Contractionary    </w:t>
      </w:r>
      <w:r>
        <w:t xml:space="preserve">   Expansionary    </w:t>
      </w:r>
      <w:r>
        <w:t xml:space="preserve">   Purpose    </w:t>
      </w:r>
      <w:r>
        <w:t xml:space="preserve">   Payment    </w:t>
      </w:r>
      <w:r>
        <w:t xml:space="preserve">   Rate of Increase    </w:t>
      </w:r>
      <w:r>
        <w:t xml:space="preserve">   Benefit Principle    </w:t>
      </w:r>
      <w:r>
        <w:t xml:space="preserve">   AbilityToPay    </w:t>
      </w:r>
      <w:r>
        <w:t xml:space="preserve">   Property    </w:t>
      </w:r>
      <w:r>
        <w:t xml:space="preserve">   Regulatory    </w:t>
      </w:r>
      <w:r>
        <w:t xml:space="preserve">   Tax due    </w:t>
      </w:r>
      <w:r>
        <w:t xml:space="preserve">   Tax Witheld    </w:t>
      </w:r>
      <w:r>
        <w:t xml:space="preserve">   BIR    </w:t>
      </w:r>
      <w:r>
        <w:t xml:space="preserve">   Customs    </w:t>
      </w:r>
      <w:r>
        <w:t xml:space="preserve">   Indirect    </w:t>
      </w:r>
      <w:r>
        <w:t xml:space="preserve">   Direct    </w:t>
      </w:r>
      <w:r>
        <w:t xml:space="preserve">   Revenue    </w:t>
      </w:r>
      <w:r>
        <w:t xml:space="preserve">   Sugar-Sweetened Beverages    </w:t>
      </w:r>
      <w:r>
        <w:t xml:space="preserve">   Excise    </w:t>
      </w:r>
      <w:r>
        <w:t xml:space="preserve">   Pagcor    </w:t>
      </w:r>
      <w:r>
        <w:t xml:space="preserve">   GOCC    </w:t>
      </w:r>
      <w:r>
        <w:t xml:space="preserve">   Tariff    </w:t>
      </w:r>
      <w:r>
        <w:t xml:space="preserve">   Professional    </w:t>
      </w:r>
      <w:r>
        <w:t xml:space="preserve">   EVAT    </w:t>
      </w:r>
      <w:r>
        <w:t xml:space="preserve">   RVAT    </w:t>
      </w:r>
      <w:r>
        <w:t xml:space="preserve">   Reform    </w:t>
      </w:r>
      <w:r>
        <w:t xml:space="preserve">   Burden    </w:t>
      </w:r>
      <w:r>
        <w:t xml:space="preserve">   Trabaho Bill    </w:t>
      </w:r>
      <w:r>
        <w:t xml:space="preserve">   Train Law    </w:t>
      </w:r>
      <w:r>
        <w:t xml:space="preserve">   ValueAdded    </w:t>
      </w:r>
      <w:r>
        <w:t xml:space="preserve">   Proportional    </w:t>
      </w:r>
      <w:r>
        <w:t xml:space="preserve">   Regressive    </w:t>
      </w:r>
      <w:r>
        <w:t xml:space="preserve">   Progressive    </w:t>
      </w:r>
      <w:r>
        <w:t xml:space="preserve">   Community    </w:t>
      </w:r>
      <w:r>
        <w:t xml:space="preserve">   Income    </w:t>
      </w:r>
      <w:r>
        <w:t xml:space="preserve">   Taxation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Policy and Taxation</dc:title>
  <dcterms:created xsi:type="dcterms:W3CDTF">2021-10-11T07:09:53Z</dcterms:created>
  <dcterms:modified xsi:type="dcterms:W3CDTF">2021-10-11T07:09:53Z</dcterms:modified>
</cp:coreProperties>
</file>