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Foodborne illness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Biological hazard    </w:t>
      </w:r>
      <w:r>
        <w:t xml:space="preserve">   Chemical hazard    </w:t>
      </w:r>
      <w:r>
        <w:t xml:space="preserve">   Contamination    </w:t>
      </w:r>
      <w:r>
        <w:t xml:space="preserve">   Cross-contamination    </w:t>
      </w:r>
      <w:r>
        <w:t xml:space="preserve">   FDA    </w:t>
      </w:r>
      <w:r>
        <w:t xml:space="preserve">   Foodborne illness    </w:t>
      </w:r>
      <w:r>
        <w:t xml:space="preserve">   Foodborne outbreak    </w:t>
      </w:r>
      <w:r>
        <w:t xml:space="preserve">   Immune systems    </w:t>
      </w:r>
      <w:r>
        <w:t xml:space="preserve">   Physical hazard    </w:t>
      </w:r>
      <w:r>
        <w:t xml:space="preserve">   Warranty of 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illness </dc:title>
  <dcterms:created xsi:type="dcterms:W3CDTF">2021-10-11T07:18:11Z</dcterms:created>
  <dcterms:modified xsi:type="dcterms:W3CDTF">2021-10-11T07:18:11Z</dcterms:modified>
</cp:coreProperties>
</file>