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greenhouse effect    </w:t>
      </w:r>
      <w:r>
        <w:t xml:space="preserve">   sustainable    </w:t>
      </w:r>
      <w:r>
        <w:t xml:space="preserve">   coal    </w:t>
      </w:r>
      <w:r>
        <w:t xml:space="preserve">   oil    </w:t>
      </w:r>
      <w:r>
        <w:t xml:space="preserve">   Natural Gas    </w:t>
      </w:r>
      <w:r>
        <w:t xml:space="preserve">   petroleum    </w:t>
      </w:r>
      <w:r>
        <w:t xml:space="preserve">   Fossil Fuels    </w:t>
      </w:r>
      <w:r>
        <w:t xml:space="preserve">   energy    </w:t>
      </w:r>
      <w:r>
        <w:t xml:space="preserve">   renewable    </w:t>
      </w:r>
      <w:r>
        <w:t xml:space="preserve">   non-renewable    </w:t>
      </w:r>
      <w:r>
        <w:t xml:space="preserve">   hydrocarbon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</dc:title>
  <dcterms:created xsi:type="dcterms:W3CDTF">2021-10-11T07:27:28Z</dcterms:created>
  <dcterms:modified xsi:type="dcterms:W3CDTF">2021-10-11T07:27:28Z</dcterms:modified>
</cp:coreProperties>
</file>