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Discount Rates    </w:t>
      </w:r>
      <w:r>
        <w:t xml:space="preserve">   Sunk Costs    </w:t>
      </w:r>
      <w:r>
        <w:t xml:space="preserve">   Incentives    </w:t>
      </w:r>
      <w:r>
        <w:t xml:space="preserve">   Marginality    </w:t>
      </w:r>
      <w:r>
        <w:t xml:space="preserve">   Constraints    </w:t>
      </w:r>
      <w:r>
        <w:t xml:space="preserve">   Rationality    </w:t>
      </w:r>
      <w:r>
        <w:t xml:space="preserve">   Preferences    </w:t>
      </w:r>
      <w:r>
        <w:t xml:space="preserve">   Institutions    </w:t>
      </w:r>
      <w:r>
        <w:t xml:space="preserve">   Property Rights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Economics</dc:title>
  <dcterms:created xsi:type="dcterms:W3CDTF">2021-10-11T07:43:31Z</dcterms:created>
  <dcterms:modified xsi:type="dcterms:W3CDTF">2021-10-11T07:43:31Z</dcterms:modified>
</cp:coreProperties>
</file>