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Functionalism and Subcultural theories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anomie    </w:t>
      </w:r>
      <w:r>
        <w:t xml:space="preserve">   Cloward    </w:t>
      </w:r>
      <w:r>
        <w:t xml:space="preserve">   Cohen    </w:t>
      </w:r>
      <w:r>
        <w:t xml:space="preserve">   crime    </w:t>
      </w:r>
      <w:r>
        <w:t xml:space="preserve">   deviance    </w:t>
      </w:r>
      <w:r>
        <w:t xml:space="preserve">   Durkheim    </w:t>
      </w:r>
      <w:r>
        <w:t xml:space="preserve">   Merton    </w:t>
      </w:r>
      <w:r>
        <w:t xml:space="preserve">   Ohlin    </w:t>
      </w:r>
      <w:r>
        <w:t xml:space="preserve">   retreatist    </w:t>
      </w:r>
      <w:r>
        <w:t xml:space="preserve">   status frustration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Functionalism and Subcultural theories</dc:title>
  <dcterms:created xsi:type="dcterms:W3CDTF">2021-10-11T07:43:21Z</dcterms:created>
  <dcterms:modified xsi:type="dcterms:W3CDTF">2021-10-11T07:43:21Z</dcterms:modified>
</cp:coreProperties>
</file>