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 Economics (4)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Factor Market    </w:t>
      </w:r>
      <w:r>
        <w:t xml:space="preserve">   Product Market    </w:t>
      </w:r>
      <w:r>
        <w:t xml:space="preserve">   Circular Flow Model    </w:t>
      </w:r>
      <w:r>
        <w:t xml:space="preserve">   Standard of living    </w:t>
      </w:r>
      <w:r>
        <w:t xml:space="preserve">   Output    </w:t>
      </w:r>
      <w:r>
        <w:t xml:space="preserve">   Input    </w:t>
      </w:r>
      <w:r>
        <w:t xml:space="preserve">   Productivity    </w:t>
      </w:r>
      <w:r>
        <w:t xml:space="preserve">   Market failure    </w:t>
      </w:r>
      <w:r>
        <w:t xml:space="preserve">   Property rights    </w:t>
      </w:r>
      <w:r>
        <w:t xml:space="preserve">   Income redistribution    </w:t>
      </w:r>
      <w:r>
        <w:t xml:space="preserve">   Public goods    </w:t>
      </w:r>
      <w:r>
        <w:t xml:space="preserve">   Private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 Economics (4)</dc:title>
  <dcterms:created xsi:type="dcterms:W3CDTF">2021-10-11T07:42:46Z</dcterms:created>
  <dcterms:modified xsi:type="dcterms:W3CDTF">2021-10-11T07:42:46Z</dcterms:modified>
</cp:coreProperties>
</file>