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Ga colonial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Wright    </w:t>
      </w:r>
      <w:r>
        <w:t xml:space="preserve">   Trustees    </w:t>
      </w:r>
      <w:r>
        <w:t xml:space="preserve">   Diseases    </w:t>
      </w:r>
      <w:r>
        <w:t xml:space="preserve">   Protestants    </w:t>
      </w:r>
      <w:r>
        <w:t xml:space="preserve">   Jews    </w:t>
      </w:r>
      <w:r>
        <w:t xml:space="preserve">   Chiefdom    </w:t>
      </w:r>
      <w:r>
        <w:t xml:space="preserve">   Defense    </w:t>
      </w:r>
      <w:r>
        <w:t xml:space="preserve">   Profit    </w:t>
      </w:r>
      <w:r>
        <w:t xml:space="preserve">   Silk    </w:t>
      </w:r>
      <w:r>
        <w:t xml:space="preserve">   Yamacraw    </w:t>
      </w:r>
      <w:r>
        <w:t xml:space="preserve">   Slavery    </w:t>
      </w:r>
      <w:r>
        <w:t xml:space="preserve">   Saltzburgers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colonial history</dc:title>
  <dcterms:created xsi:type="dcterms:W3CDTF">2021-10-11T07:44:38Z</dcterms:created>
  <dcterms:modified xsi:type="dcterms:W3CDTF">2021-10-11T07:44:38Z</dcterms:modified>
</cp:coreProperties>
</file>