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Gastrointestinal 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relieve chemotherapy induced emesis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Dopamine antagonists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is orally taken and acts within 6-10 hours (best given at bedtime or early 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bleeding or irritation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antibacterial agent-treats oral mucositis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agent that can cause confusion, disorientation, hallucinations, slurred speech, gynecomastia, hepatotoxicity that needs to be reported.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inhibits gastric secretion by inhibiting gastric acid pump of the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agent that is used for sedation, reduction of anxiety and possible depression of vomiting center and amnesic effect. It is most useful in combo with other antiemetics.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that is marijuana and is used for chemotherapy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chemical that acts to promote the evacuation of the bowel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relieve acute constipation and post-op flatus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type of prostaglandins that decreases pain and swelling and can cause uterine contractions contraindicated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decreases plaque accumulation and gingivitis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agent used for motion sickness, and N/V associated with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safest laxative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defoaming agent breaks up gas bubbles in the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hypertonic compounds that attract water into the intestine from surrounding tissues, usually acts within 1-3 hours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swallowed forms a thick paste that adheres to the ulcer therefore protecting ulcers from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for chemotherapy induced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binds with opiate receptors in the GI tract, inhibits constipating effects of opiods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"wetting agents"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 one or more abrasive agents, foaming agent and flavoring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produces solution floats on top of food or gastric contents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hyperacidity, indigestion, reflux esophagitis, gastric peptic, and duodenal ulcers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relief of pharyngeal irritation for NG tube, sore throat, and oral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cavity prevention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laxative agent used to decrease ammonia levels to treat chronic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lubricates the intestinal wall and softens the stool, onset is 6-8 hours and inhibits fat soluble vitamin absorption</w:t>
            </w:r>
          </w:p>
        </w:tc>
      </w:tr>
    </w:tbl>
    <w:p>
      <w:pPr>
        <w:pStyle w:val="WordBankLarge"/>
      </w:pPr>
      <w:r>
        <w:t xml:space="preserve">   Dentifrices    </w:t>
      </w:r>
      <w:r>
        <w:t xml:space="preserve">   Fluorides    </w:t>
      </w:r>
      <w:r>
        <w:t xml:space="preserve">   Listerine    </w:t>
      </w:r>
      <w:r>
        <w:t xml:space="preserve">   Peridex    </w:t>
      </w:r>
      <w:r>
        <w:t xml:space="preserve">   Astringent    </w:t>
      </w:r>
      <w:r>
        <w:t xml:space="preserve">   Saline Gargle    </w:t>
      </w:r>
      <w:r>
        <w:t xml:space="preserve">   Antacids    </w:t>
      </w:r>
      <w:r>
        <w:t xml:space="preserve">   Simethicone    </w:t>
      </w:r>
      <w:r>
        <w:t xml:space="preserve">   Alginic acid    </w:t>
      </w:r>
      <w:r>
        <w:t xml:space="preserve">   H2 Receptor antagonists     </w:t>
      </w:r>
      <w:r>
        <w:t xml:space="preserve">   misoprostol cytotec    </w:t>
      </w:r>
      <w:r>
        <w:t xml:space="preserve">   Proton Pump Inhibitors     </w:t>
      </w:r>
      <w:r>
        <w:t xml:space="preserve">   sucralfate Carafate    </w:t>
      </w:r>
      <w:r>
        <w:t xml:space="preserve">   metoclopramide Reglan    </w:t>
      </w:r>
      <w:r>
        <w:t xml:space="preserve">   prochlorperazine compazine    </w:t>
      </w:r>
      <w:r>
        <w:t xml:space="preserve">   serotonin antagonists    </w:t>
      </w:r>
      <w:r>
        <w:t xml:space="preserve">   antihistamines     </w:t>
      </w:r>
      <w:r>
        <w:t xml:space="preserve">   Benzodiazepines    </w:t>
      </w:r>
      <w:r>
        <w:t xml:space="preserve">   Cannabinoids    </w:t>
      </w:r>
      <w:r>
        <w:t xml:space="preserve">   laxative    </w:t>
      </w:r>
      <w:r>
        <w:t xml:space="preserve">   Bisacodyl Dulcolax    </w:t>
      </w:r>
      <w:r>
        <w:t xml:space="preserve">   Contact or Stimulant    </w:t>
      </w:r>
      <w:r>
        <w:t xml:space="preserve">   Osmotic    </w:t>
      </w:r>
      <w:r>
        <w:t xml:space="preserve">   saline/cathartic    </w:t>
      </w:r>
      <w:r>
        <w:t xml:space="preserve">   mineral oil    </w:t>
      </w:r>
      <w:r>
        <w:t xml:space="preserve">   bulk forming fiber    </w:t>
      </w:r>
      <w:r>
        <w:t xml:space="preserve">   fecal softener    </w:t>
      </w:r>
      <w:r>
        <w:t xml:space="preserve">   Opiod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Gastrointestinal Pharmacology</dc:title>
  <dcterms:created xsi:type="dcterms:W3CDTF">2021-10-11T07:48:31Z</dcterms:created>
  <dcterms:modified xsi:type="dcterms:W3CDTF">2021-10-11T07:48:31Z</dcterms:modified>
</cp:coreProperties>
</file>