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Gathercoal- Supportive Classroom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CODE OF ETHICS    </w:t>
      </w:r>
      <w:r>
        <w:t xml:space="preserve">   EQUALITY    </w:t>
      </w:r>
      <w:r>
        <w:t xml:space="preserve">   FORREST GATHERCOAL    </w:t>
      </w:r>
      <w:r>
        <w:t xml:space="preserve">   FREEDOM    </w:t>
      </w:r>
      <w:r>
        <w:t xml:space="preserve">   FRONT LOADING    </w:t>
      </w:r>
      <w:r>
        <w:t xml:space="preserve">   INDIVIDUALIZED    </w:t>
      </w:r>
      <w:r>
        <w:t xml:space="preserve">   JUDICIOUS DISCIPLINE    </w:t>
      </w:r>
      <w:r>
        <w:t xml:space="preserve">   JUSTICE    </w:t>
      </w:r>
      <w:r>
        <w:t xml:space="preserve">   STUDENT RIGHTS    </w:t>
      </w:r>
      <w:r>
        <w:t xml:space="preserve">   SUPPORTIVE CLASSROOM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Gathercoal- Supportive Classroom Management </dc:title>
  <dcterms:created xsi:type="dcterms:W3CDTF">2021-10-11T07:47:07Z</dcterms:created>
  <dcterms:modified xsi:type="dcterms:W3CDTF">2021-10-11T07:47:07Z</dcterms:modified>
</cp:coreProperties>
</file>