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- Natural Resources &amp; Landform Regions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location    </w:t>
      </w:r>
      <w:r>
        <w:t xml:space="preserve">   maps    </w:t>
      </w:r>
      <w:r>
        <w:t xml:space="preserve">   flow    </w:t>
      </w:r>
      <w:r>
        <w:t xml:space="preserve">   renewable    </w:t>
      </w:r>
      <w:r>
        <w:t xml:space="preserve">   nonrenewable    </w:t>
      </w:r>
      <w:r>
        <w:t xml:space="preserve">   nickel    </w:t>
      </w:r>
      <w:r>
        <w:t xml:space="preserve">   copper    </w:t>
      </w:r>
      <w:r>
        <w:t xml:space="preserve">   zinc    </w:t>
      </w:r>
      <w:r>
        <w:t xml:space="preserve">   regions    </w:t>
      </w:r>
      <w:r>
        <w:t xml:space="preserve">   landform     </w:t>
      </w:r>
      <w:r>
        <w:t xml:space="preserve">   natural resources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- Natural Resources &amp; Landform Regions</dc:title>
  <dcterms:created xsi:type="dcterms:W3CDTF">2021-10-11T07:52:55Z</dcterms:created>
  <dcterms:modified xsi:type="dcterms:W3CDTF">2021-10-11T07:52:55Z</dcterms:modified>
</cp:coreProperties>
</file>