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Goals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provides all learners with capabilities they require to become economically productive, develop sustainable livelihoods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without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goal does bad water fall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animals is being hurt or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 resilient infrastructure, promote inclusive and sustainable industrialization, and foster innovation.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good job/life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widening disparities are a call for action that require the adoption of sound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boys and girls doing different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transition to sustainable consumption and production of goods and services is necessary to reduce the negative impact on the climate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energy being reused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working together in same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is happy and no unfairness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fishing for fish and taking care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eating junk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goal does being poor falls under </w:t>
            </w:r>
          </w:p>
        </w:tc>
      </w:tr>
    </w:tbl>
    <w:p>
      <w:pPr>
        <w:pStyle w:val="WordBankLarge"/>
      </w:pPr>
      <w:r>
        <w:t xml:space="preserve">   clean water and sanitation     </w:t>
      </w:r>
      <w:r>
        <w:t xml:space="preserve">   no poverty     </w:t>
      </w:r>
      <w:r>
        <w:t xml:space="preserve">   zero hunger     </w:t>
      </w:r>
      <w:r>
        <w:t xml:space="preserve">    good health     </w:t>
      </w:r>
      <w:r>
        <w:t xml:space="preserve">   quality education     </w:t>
      </w:r>
      <w:r>
        <w:t xml:space="preserve">   gender equality     </w:t>
      </w:r>
      <w:r>
        <w:t xml:space="preserve">   renewable energy    </w:t>
      </w:r>
      <w:r>
        <w:t xml:space="preserve">   good jobs and economic growth     </w:t>
      </w:r>
      <w:r>
        <w:t xml:space="preserve">   partnerships for the goals    </w:t>
      </w:r>
      <w:r>
        <w:t xml:space="preserve">   life below water     </w:t>
      </w:r>
      <w:r>
        <w:t xml:space="preserve">   peace and justice     </w:t>
      </w:r>
      <w:r>
        <w:t xml:space="preserve">   life on land     </w:t>
      </w:r>
      <w:r>
        <w:t xml:space="preserve">   climate action     </w:t>
      </w:r>
      <w:r>
        <w:t xml:space="preserve">    responsible consumption     </w:t>
      </w:r>
      <w:r>
        <w:t xml:space="preserve">   reduced inequalities     </w:t>
      </w:r>
      <w:r>
        <w:t xml:space="preserve">   innovation and infrastructure     </w:t>
      </w:r>
      <w:r>
        <w:t xml:space="preserve">   sustainable cities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 </dc:title>
  <dcterms:created xsi:type="dcterms:W3CDTF">2021-10-11T08:05:31Z</dcterms:created>
  <dcterms:modified xsi:type="dcterms:W3CDTF">2021-10-11T08:05:31Z</dcterms:modified>
</cp:coreProperties>
</file>