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Gospel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"Shows Jesus' connection with God's people."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Stages in Gospel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 different Paschal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was the initial gift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prophet is quoted in the opening lines of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of Simon, ___, James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abiout 90-100 AD for all Christians in Ephesus.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 synoptic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Suffering servant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baptized people at the Jordan River as he encouraged them to repent and convert?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for Greek Christians probably in Greece. His image of Jesus is Compassionate Savior.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life and teachings was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for Jewish Christians and some ___ probably residing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3 Books of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Compassionate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Incarnate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Synoptic Gospel: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covenants with __, Abraham, and his descendants were gifted and promises of God's steadfast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title for Jesus in Mark's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Gospels were presented in ___ different perspectives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Matthew present as the New Moses?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Isaiah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Gospel of Luke    </w:t>
      </w:r>
      <w:r>
        <w:t xml:space="preserve">   Gospel of John    </w:t>
      </w:r>
      <w:r>
        <w:t xml:space="preserve">   Creation    </w:t>
      </w:r>
      <w:r>
        <w:t xml:space="preserve">   Gentiles     </w:t>
      </w:r>
      <w:r>
        <w:t xml:space="preserve">   Jesus    </w:t>
      </w:r>
      <w:r>
        <w:t xml:space="preserve">   Washing of the Feet    </w:t>
      </w:r>
      <w:r>
        <w:t xml:space="preserve">   Baptism of Jesus     </w:t>
      </w:r>
      <w:r>
        <w:t xml:space="preserve">   John the Baptist    </w:t>
      </w:r>
      <w:r>
        <w:t xml:space="preserve">   Andrew    </w:t>
      </w:r>
      <w:r>
        <w:t xml:space="preserve">   Paschal Mystery    </w:t>
      </w:r>
      <w:r>
        <w:t xml:space="preserve">   Oral Tradition    </w:t>
      </w:r>
      <w:r>
        <w:t xml:space="preserve">   four    </w:t>
      </w:r>
      <w:r>
        <w:t xml:space="preserve">   Five    </w:t>
      </w:r>
      <w:r>
        <w:t xml:space="preserve">   Messiah    </w:t>
      </w:r>
      <w:r>
        <w:t xml:space="preserve">   Noah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Gospel </dc:title>
  <dcterms:created xsi:type="dcterms:W3CDTF">2021-10-12T20:17:40Z</dcterms:created>
  <dcterms:modified xsi:type="dcterms:W3CDTF">2021-10-12T20:17:40Z</dcterms:modified>
</cp:coreProperties>
</file>