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Gr.8 - EBW terme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Sondebelasting    </w:t>
      </w:r>
      <w:r>
        <w:t xml:space="preserve">   Uitgawes    </w:t>
      </w:r>
      <w:r>
        <w:t xml:space="preserve">   Inkomste    </w:t>
      </w:r>
      <w:r>
        <w:t xml:space="preserve">   Begroting    </w:t>
      </w:r>
      <w:r>
        <w:t xml:space="preserve">   Grondwetlike hof    </w:t>
      </w:r>
      <w:r>
        <w:t xml:space="preserve">   Regering    </w:t>
      </w:r>
      <w:r>
        <w:t xml:space="preserve">   Buitelandse sektor    </w:t>
      </w:r>
      <w:r>
        <w:t xml:space="preserve">   Ondernemings    </w:t>
      </w:r>
      <w:r>
        <w:t xml:space="preserve">   Huishoudings    </w:t>
      </w:r>
      <w:r>
        <w:t xml:space="preserve">   Staat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Gr.8 - EBW terme</dc:title>
  <dcterms:created xsi:type="dcterms:W3CDTF">2021-10-11T08:13:36Z</dcterms:created>
  <dcterms:modified xsi:type="dcterms:W3CDTF">2021-10-11T08:13:36Z</dcterms:modified>
</cp:coreProperties>
</file>