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Roots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Anonymous    </w:t>
      </w:r>
      <w:r>
        <w:t xml:space="preserve">   Synonymous    </w:t>
      </w:r>
      <w:r>
        <w:t xml:space="preserve">   Nomenclature    </w:t>
      </w:r>
      <w:r>
        <w:t xml:space="preserve">   Denomination    </w:t>
      </w:r>
      <w:r>
        <w:t xml:space="preserve">   Nominal    </w:t>
      </w:r>
      <w:r>
        <w:t xml:space="preserve">   Sophistry    </w:t>
      </w:r>
      <w:r>
        <w:t xml:space="preserve">   Sophisticate    </w:t>
      </w:r>
      <w:r>
        <w:t xml:space="preserve">   Cognizant    </w:t>
      </w:r>
      <w:r>
        <w:t xml:space="preserve">   Cognitive    </w:t>
      </w:r>
      <w:r>
        <w:t xml:space="preserve">   Incognito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18</dc:title>
  <dcterms:created xsi:type="dcterms:W3CDTF">2021-10-11T08:20:54Z</dcterms:created>
  <dcterms:modified xsi:type="dcterms:W3CDTF">2021-10-11T08:20:54Z</dcterms:modified>
</cp:coreProperties>
</file>