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HACC{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verification procedures    </w:t>
      </w:r>
      <w:r>
        <w:t xml:space="preserve">   corrective action plan    </w:t>
      </w:r>
      <w:r>
        <w:t xml:space="preserve">   food code    </w:t>
      </w:r>
      <w:r>
        <w:t xml:space="preserve">   critical limits    </w:t>
      </w:r>
      <w:r>
        <w:t xml:space="preserve">   Critical control points    </w:t>
      </w:r>
      <w:r>
        <w:t xml:space="preserve">   process approach    </w:t>
      </w:r>
      <w:r>
        <w:t xml:space="preserve">   temperature danger zone    </w:t>
      </w:r>
      <w:r>
        <w:t xml:space="preserve">   HACCP    </w:t>
      </w:r>
      <w:r>
        <w:t xml:space="preserve">   TCS FOODS    </w:t>
      </w:r>
      <w:r>
        <w:t xml:space="preserve">   hazard 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HACC{ Principles</dc:title>
  <dcterms:created xsi:type="dcterms:W3CDTF">2021-10-11T08:27:36Z</dcterms:created>
  <dcterms:modified xsi:type="dcterms:W3CDTF">2021-10-11T08:27:36Z</dcterms:modified>
</cp:coreProperties>
</file>