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Data Transmissions    </w:t>
      </w:r>
      <w:r>
        <w:t xml:space="preserve">   Privacy and Security Rules     </w:t>
      </w:r>
      <w:r>
        <w:t xml:space="preserve">   Civil Penalties     </w:t>
      </w:r>
      <w:r>
        <w:t xml:space="preserve">   Criminal Penalties     </w:t>
      </w:r>
      <w:r>
        <w:t xml:space="preserve">   Patient Rights     </w:t>
      </w:r>
      <w:r>
        <w:t xml:space="preserve">   Written Communication    </w:t>
      </w:r>
      <w:r>
        <w:t xml:space="preserve">   Incidental Disclosure    </w:t>
      </w:r>
      <w:r>
        <w:t xml:space="preserve">   Incidental Exposure    </w:t>
      </w:r>
      <w:r>
        <w:t xml:space="preserve">   Oral Communication    </w:t>
      </w:r>
      <w:r>
        <w:t xml:space="preserve">   Electronic Communication    </w:t>
      </w:r>
      <w:r>
        <w:t xml:space="preserve">   HIPAA     </w:t>
      </w:r>
      <w:r>
        <w:t xml:space="preserve">   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2021-10-11T09:00:00Z</dcterms:created>
  <dcterms:modified xsi:type="dcterms:W3CDTF">2021-10-11T09:00:00Z</dcterms:modified>
</cp:coreProperties>
</file>