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and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malignancy    </w:t>
      </w:r>
      <w:r>
        <w:t xml:space="preserve">   mucus    </w:t>
      </w:r>
      <w:r>
        <w:t xml:space="preserve">   saliva    </w:t>
      </w:r>
      <w:r>
        <w:t xml:space="preserve">   blood    </w:t>
      </w:r>
      <w:r>
        <w:t xml:space="preserve">   sexual intercourse    </w:t>
      </w:r>
      <w:r>
        <w:t xml:space="preserve">   not curable    </w:t>
      </w:r>
      <w:r>
        <w:t xml:space="preserve">   deaths    </w:t>
      </w:r>
      <w:r>
        <w:t xml:space="preserve">   immunodeficiency    </w:t>
      </w:r>
      <w:r>
        <w:t xml:space="preserve">   AIDS    </w:t>
      </w:r>
      <w:r>
        <w:t xml:space="preserve">   highrisk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</dc:title>
  <dcterms:created xsi:type="dcterms:W3CDTF">2021-10-11T09:04:12Z</dcterms:created>
  <dcterms:modified xsi:type="dcterms:W3CDTF">2021-10-11T09:04:12Z</dcterms:modified>
</cp:coreProperties>
</file>