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HTML Tags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Defines the document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Defines a visible heading for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Defines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Specifies a list of predefined options for input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Defines a section of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Defines navigation links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Defines the result of a calculation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Defines sound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Defines the root of an html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Groups the header content in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Defines highlighted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Defines a line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Defines keyboard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Defines a container for an external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Defines a thematic change in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Defines a title of a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Defines information about the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Defines a set of frames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Specifies self-contained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Defines a multi line input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Defines a container for multiple image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Defines a list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Defines a section that is quoted from another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Links the given content with a machine-readable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Defines a section that is quoted from another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Defines a header cell in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Defines multiple media resources for media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draw graphics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Defines superscripted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Defines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Defines contact information for the author/owner of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Groups the body content in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Defines subscripted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Defines the relationship between a document and an external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Defines a window in a frameset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Defines a section in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Defines a cell in a table</w:t>
            </w:r>
          </w:p>
        </w:tc>
      </w:tr>
    </w:tbl>
    <w:p>
      <w:pPr>
        <w:pStyle w:val="WordBankMedium"/>
      </w:pPr>
      <w:r>
        <w:t xml:space="preserve">   DOCTYPE    </w:t>
      </w:r>
      <w:r>
        <w:t xml:space="preserve">   blockquote    </w:t>
      </w:r>
      <w:r>
        <w:t xml:space="preserve">   audio    </w:t>
      </w:r>
      <w:r>
        <w:t xml:space="preserve">   address    </w:t>
      </w:r>
      <w:r>
        <w:t xml:space="preserve">   blockquote    </w:t>
      </w:r>
      <w:r>
        <w:t xml:space="preserve">   br    </w:t>
      </w:r>
      <w:r>
        <w:t xml:space="preserve">   Canvas    </w:t>
      </w:r>
      <w:r>
        <w:t xml:space="preserve">   Cite    </w:t>
      </w:r>
      <w:r>
        <w:t xml:space="preserve">   Data    </w:t>
      </w:r>
      <w:r>
        <w:t xml:space="preserve">   div    </w:t>
      </w:r>
      <w:r>
        <w:t xml:space="preserve">   datalist    </w:t>
      </w:r>
      <w:r>
        <w:t xml:space="preserve">   figure    </w:t>
      </w:r>
      <w:r>
        <w:t xml:space="preserve">   head    </w:t>
      </w:r>
      <w:r>
        <w:t xml:space="preserve">   frame    </w:t>
      </w:r>
      <w:r>
        <w:t xml:space="preserve">   frameset    </w:t>
      </w:r>
      <w:r>
        <w:t xml:space="preserve">   hr    </w:t>
      </w:r>
      <w:r>
        <w:t xml:space="preserve">   img    </w:t>
      </w:r>
      <w:r>
        <w:t xml:space="preserve">   html    </w:t>
      </w:r>
      <w:r>
        <w:t xml:space="preserve">   embed    </w:t>
      </w:r>
      <w:r>
        <w:t xml:space="preserve">   kbd    </w:t>
      </w:r>
      <w:r>
        <w:t xml:space="preserve">   li    </w:t>
      </w:r>
      <w:r>
        <w:t xml:space="preserve">   link    </w:t>
      </w:r>
      <w:r>
        <w:t xml:space="preserve">   picture    </w:t>
      </w:r>
      <w:r>
        <w:t xml:space="preserve">   source    </w:t>
      </w:r>
      <w:r>
        <w:t xml:space="preserve">   sub    </w:t>
      </w:r>
      <w:r>
        <w:t xml:space="preserve">   output    </w:t>
      </w:r>
      <w:r>
        <w:t xml:space="preserve">   mark    </w:t>
      </w:r>
      <w:r>
        <w:t xml:space="preserve">   nav    </w:t>
      </w:r>
      <w:r>
        <w:t xml:space="preserve">   span    </w:t>
      </w:r>
      <w:r>
        <w:t xml:space="preserve">   summary    </w:t>
      </w:r>
      <w:r>
        <w:t xml:space="preserve">   sup    </w:t>
      </w:r>
      <w:r>
        <w:t xml:space="preserve">   tbody    </w:t>
      </w:r>
      <w:r>
        <w:t xml:space="preserve">   td    </w:t>
      </w:r>
      <w:r>
        <w:t xml:space="preserve">   textarea    </w:t>
      </w:r>
      <w:r>
        <w:t xml:space="preserve">   th    </w:t>
      </w:r>
      <w:r>
        <w:t xml:space="preserve">   thead    </w:t>
      </w:r>
      <w:r>
        <w:t xml:space="preserve">   var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HTML Tags</dc:title>
  <dcterms:created xsi:type="dcterms:W3CDTF">2021-10-11T09:21:59Z</dcterms:created>
  <dcterms:modified xsi:type="dcterms:W3CDTF">2021-10-11T09:21:59Z</dcterms:modified>
</cp:coreProperties>
</file>