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chooses to put actions ahead of thought and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writer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something that is not often shown throughout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officers who is shown in Act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one of the soldiers from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Polonius's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 from the play who is deceivious and commit an act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from the play who eventually gets revenge for his fathers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something that King Claudius is full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was a sin that Claudius had comit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officers who is shown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place where King Hamlet was sleeping moments before his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Prince of Norway who then later becomes the King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something that Hamlet seeks out for since the beginning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burial that King Fortinbras ordered for Hamlet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was very important to Ophelia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as of to where the play mainly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something that Claudius uses in order to kill King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theme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workers had the responsibility of keeping the royal family away from any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Hamlets best friend and a very important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 not shown much in the play, this character was very important to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used to be friends with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 of Denmark and Hamlets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something that King Claudius once attempted to receive by going down on his knees and confessing his sins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Laertes and Ophelia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should have been more adressed throughout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used to be good friends with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considered to be a sin that Ophelia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a noun and constantly occurs throughout the play</w:t>
            </w:r>
          </w:p>
        </w:tc>
      </w:tr>
    </w:tbl>
    <w:p>
      <w:pPr>
        <w:pStyle w:val="WordBankLarge"/>
      </w:pPr>
      <w:r>
        <w:t xml:space="preserve">   King Claudius     </w:t>
      </w:r>
      <w:r>
        <w:t xml:space="preserve">   Horatio    </w:t>
      </w:r>
      <w:r>
        <w:t xml:space="preserve">   Denmark    </w:t>
      </w:r>
      <w:r>
        <w:t xml:space="preserve">   Fortinbras    </w:t>
      </w:r>
      <w:r>
        <w:t xml:space="preserve">   Hamlet    </w:t>
      </w:r>
      <w:r>
        <w:t xml:space="preserve">   Death    </w:t>
      </w:r>
      <w:r>
        <w:t xml:space="preserve">   Betrayal    </w:t>
      </w:r>
      <w:r>
        <w:t xml:space="preserve">   Mourning    </w:t>
      </w:r>
      <w:r>
        <w:t xml:space="preserve">   Poison    </w:t>
      </w:r>
      <w:r>
        <w:t xml:space="preserve">   The Orchard Garden    </w:t>
      </w:r>
      <w:r>
        <w:t xml:space="preserve">   Soldiers Burial    </w:t>
      </w:r>
      <w:r>
        <w:t xml:space="preserve">   Flowers    </w:t>
      </w:r>
      <w:r>
        <w:t xml:space="preserve">   Suicide    </w:t>
      </w:r>
      <w:r>
        <w:t xml:space="preserve">   Forgiveness    </w:t>
      </w:r>
      <w:r>
        <w:t xml:space="preserve">   Murder    </w:t>
      </w:r>
      <w:r>
        <w:t xml:space="preserve">   Love    </w:t>
      </w:r>
      <w:r>
        <w:t xml:space="preserve">   Guilt    </w:t>
      </w:r>
      <w:r>
        <w:t xml:space="preserve">   Revenge    </w:t>
      </w:r>
      <w:r>
        <w:t xml:space="preserve">   Ghost Hamlet    </w:t>
      </w:r>
      <w:r>
        <w:t xml:space="preserve">   William Shakespeare    </w:t>
      </w:r>
      <w:r>
        <w:t xml:space="preserve">   Gertrude    </w:t>
      </w:r>
      <w:r>
        <w:t xml:space="preserve">   Laertes    </w:t>
      </w:r>
      <w:r>
        <w:t xml:space="preserve">   Polonius    </w:t>
      </w:r>
      <w:r>
        <w:t xml:space="preserve">   Marcellus    </w:t>
      </w:r>
      <w:r>
        <w:t xml:space="preserve">   Bernardo    </w:t>
      </w:r>
      <w:r>
        <w:t xml:space="preserve">   Guildenstern    </w:t>
      </w:r>
      <w:r>
        <w:t xml:space="preserve">   Rosencrantz    </w:t>
      </w:r>
      <w:r>
        <w:t xml:space="preserve">   Francisco     </w:t>
      </w:r>
      <w:r>
        <w:t xml:space="preserve">   Reynaldo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2021-10-11T08:33:25Z</dcterms:created>
  <dcterms:modified xsi:type="dcterms:W3CDTF">2021-10-11T08:33:25Z</dcterms:modified>
</cp:coreProperties>
</file>