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Risks associated with smoking and the cessation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Acupuncture    </w:t>
      </w:r>
      <w:r>
        <w:t xml:space="preserve">   Bronchitis    </w:t>
      </w:r>
      <w:r>
        <w:t xml:space="preserve">   Cancer    </w:t>
      </w:r>
      <w:r>
        <w:t xml:space="preserve">   Cigarette    </w:t>
      </w:r>
      <w:r>
        <w:t xml:space="preserve">   Coronary    </w:t>
      </w:r>
      <w:r>
        <w:t xml:space="preserve">   emphysema    </w:t>
      </w:r>
      <w:r>
        <w:t xml:space="preserve">   Infertility    </w:t>
      </w:r>
      <w:r>
        <w:t xml:space="preserve">   Lung    </w:t>
      </w:r>
      <w:r>
        <w:t xml:space="preserve">   pneumonia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Risks associated with smoking and the cessation strategies</dc:title>
  <dcterms:created xsi:type="dcterms:W3CDTF">2021-10-11T08:50:14Z</dcterms:created>
  <dcterms:modified xsi:type="dcterms:W3CDTF">2021-10-11T08:50:14Z</dcterms:modified>
</cp:coreProperties>
</file>