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Unit 1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practice which promotes unethical medical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donating an organ for use of study or to give to someone in need of the same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variety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experience and status of one’s health, comfort,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health of a population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an individual’s social position according to their income, occupation,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the rights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agency established to protect consumers in pursuit of free and fair competition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rates businesses according to public opinion Poverty / being extremely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having no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behavioral, socio-economic, environmental, and biological factors impact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rights that refer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involving exposing oneself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used to inform the public on how polluted the 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adequate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conserve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protest and share their opinions on a topic or issue they may not believe or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in which an organism lives or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person who willingly takes part in an enterprise or undertake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free from injury or illness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Risk    </w:t>
      </w:r>
      <w:r>
        <w:t xml:space="preserve">   Volunteer    </w:t>
      </w:r>
      <w:r>
        <w:t xml:space="preserve">   Advocacy    </w:t>
      </w:r>
      <w:r>
        <w:t xml:space="preserve">   Environment    </w:t>
      </w:r>
      <w:r>
        <w:t xml:space="preserve">   Malnutrition    </w:t>
      </w:r>
      <w:r>
        <w:t xml:space="preserve">   Air Quality Index    </w:t>
      </w:r>
      <w:r>
        <w:t xml:space="preserve">   Biodiversity    </w:t>
      </w:r>
      <w:r>
        <w:t xml:space="preserve">   Consumer Rights    </w:t>
      </w:r>
      <w:r>
        <w:t xml:space="preserve">   Health Fraud    </w:t>
      </w:r>
      <w:r>
        <w:t xml:space="preserve">   Consumer Product Safety    </w:t>
      </w:r>
      <w:r>
        <w:t xml:space="preserve">   Federal Trade Commission    </w:t>
      </w:r>
      <w:r>
        <w:t xml:space="preserve">   Better Business Bureau (BBB)    </w:t>
      </w:r>
      <w:r>
        <w:t xml:space="preserve">   Health determinants    </w:t>
      </w:r>
      <w:r>
        <w:t xml:space="preserve">   Public Health    </w:t>
      </w:r>
      <w:r>
        <w:t xml:space="preserve">   Socioeconomic Status    </w:t>
      </w:r>
      <w:r>
        <w:t xml:space="preserve">   Homelessness    </w:t>
      </w:r>
      <w:r>
        <w:t xml:space="preserve">   Organ Donation    </w:t>
      </w:r>
      <w:r>
        <w:t xml:space="preserve">   Conservation    </w:t>
      </w:r>
      <w:r>
        <w:t xml:space="preserve">   Quality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Unit 1 Vocabulary Crossword Puzzle</dc:title>
  <dcterms:created xsi:type="dcterms:W3CDTF">2021-10-11T08:50:10Z</dcterms:created>
  <dcterms:modified xsi:type="dcterms:W3CDTF">2021-10-11T08:50:10Z</dcterms:modified>
</cp:coreProperties>
</file>