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Data Protection Act    </w:t>
      </w:r>
      <w:r>
        <w:t xml:space="preserve">   Responsibility    </w:t>
      </w:r>
      <w:r>
        <w:t xml:space="preserve">   Safeguarding    </w:t>
      </w:r>
      <w:r>
        <w:t xml:space="preserve">   Fire Safety    </w:t>
      </w:r>
      <w:r>
        <w:t xml:space="preserve">   Childcare Act    </w:t>
      </w:r>
      <w:r>
        <w:t xml:space="preserve">   Implemented    </w:t>
      </w:r>
      <w:r>
        <w:t xml:space="preserve">   Legislation    </w:t>
      </w:r>
      <w:r>
        <w:t xml:space="preserve">   Safety    </w:t>
      </w:r>
      <w:r>
        <w:t xml:space="preserve">   Health    </w:t>
      </w:r>
      <w:r>
        <w:t xml:space="preserve">   COSHH    </w:t>
      </w:r>
      <w:r>
        <w:t xml:space="preserve">   RIDDOR    </w:t>
      </w:r>
      <w:r>
        <w:t xml:space="preserve">   DBS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2021-10-11T08:48:20Z</dcterms:created>
  <dcterms:modified xsi:type="dcterms:W3CDTF">2021-10-11T08:48:20Z</dcterms:modified>
</cp:coreProperties>
</file>