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Veterinary medicines    </w:t>
      </w:r>
      <w:r>
        <w:t xml:space="preserve">   Micro organisms    </w:t>
      </w:r>
      <w:r>
        <w:t xml:space="preserve">   Fumes    </w:t>
      </w:r>
      <w:r>
        <w:t xml:space="preserve">   Gases    </w:t>
      </w:r>
      <w:r>
        <w:t xml:space="preserve">   Substances    </w:t>
      </w:r>
      <w:r>
        <w:t xml:space="preserve">   Hazardous    </w:t>
      </w:r>
      <w:r>
        <w:t xml:space="preserve">   Children act    </w:t>
      </w:r>
      <w:r>
        <w:t xml:space="preserve">   Food and safety act    </w:t>
      </w:r>
      <w:r>
        <w:t xml:space="preserve">   RIDDOR    </w:t>
      </w:r>
      <w:r>
        <w:t xml:space="preserve">   COSHH Regulations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 search </dc:title>
  <dcterms:created xsi:type="dcterms:W3CDTF">2021-10-11T08:48:06Z</dcterms:created>
  <dcterms:modified xsi:type="dcterms:W3CDTF">2021-10-11T08:48:06Z</dcterms:modified>
</cp:coreProperties>
</file>