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Henry VII Finance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expenditure    </w:t>
      </w:r>
      <w:r>
        <w:t xml:space="preserve">   revenue    </w:t>
      </w:r>
      <w:r>
        <w:t xml:space="preserve">   benevolences    </w:t>
      </w:r>
      <w:r>
        <w:t xml:space="preserve">   clericaltaxes    </w:t>
      </w:r>
      <w:r>
        <w:t xml:space="preserve">   grants    </w:t>
      </w:r>
      <w:r>
        <w:t xml:space="preserve">   loans    </w:t>
      </w:r>
      <w:r>
        <w:t xml:space="preserve">   profits    </w:t>
      </w:r>
      <w:r>
        <w:t xml:space="preserve">   recognisances    </w:t>
      </w:r>
      <w:r>
        <w:t xml:space="preserve">   bonds    </w:t>
      </w:r>
      <w:r>
        <w:t xml:space="preserve">   crownlands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Henry VII Finance </dc:title>
  <dcterms:created xsi:type="dcterms:W3CDTF">2021-10-11T08:56:18Z</dcterms:created>
  <dcterms:modified xsi:type="dcterms:W3CDTF">2021-10-11T08:56:18Z</dcterms:modified>
</cp:coreProperties>
</file>