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Holocaust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Guilt; deep and painful regret for wrongdoing.</w:t>
            </w:r>
          </w:p>
          <w:p>
            <w:pPr>
              <w:keepLines/>
              <w:pStyle w:val="CluesTiny"/>
            </w:pPr>
            <w:r>
              <w:rPr>
                <w:b w:val="true"/>
                <w:bCs w:val="true"/>
              </w:rPr>
              <w:t xml:space="preserve">3. </w:t>
            </w:r>
            <w:r>
              <w:t xml:space="preserve">Displeased or disconnected </w:t>
            </w:r>
          </w:p>
          <w:p>
            <w:pPr>
              <w:keepLines/>
              <w:pStyle w:val="CluesTiny"/>
            </w:pPr>
            <w:r>
              <w:rPr>
                <w:b w:val="true"/>
                <w:bCs w:val="true"/>
              </w:rPr>
              <w:t xml:space="preserve">6. </w:t>
            </w:r>
            <w:r>
              <w:t xml:space="preserve">The secondary meaning of a word.</w:t>
            </w:r>
          </w:p>
          <w:p>
            <w:pPr>
              <w:keepLines/>
              <w:pStyle w:val="CluesTiny"/>
            </w:pPr>
            <w:r>
              <w:rPr>
                <w:b w:val="true"/>
                <w:bCs w:val="true"/>
              </w:rPr>
              <w:t xml:space="preserve">8. </w:t>
            </w:r>
            <w:r>
              <w:t xml:space="preserve">Intolerable or unbearable</w:t>
            </w:r>
          </w:p>
          <w:p>
            <w:pPr>
              <w:keepLines/>
              <w:pStyle w:val="CluesTiny"/>
            </w:pPr>
            <w:r>
              <w:rPr>
                <w:b w:val="true"/>
                <w:bCs w:val="true"/>
              </w:rPr>
              <w:t xml:space="preserve">10. </w:t>
            </w:r>
            <w:r>
              <w:t xml:space="preserve">Suggests to the actors, director, and technicians what the play should look like and sound like on the stage. They can be used to describe the setting, characters, or tell the actors how to speak their lines.</w:t>
            </w:r>
          </w:p>
          <w:p>
            <w:pPr>
              <w:keepLines/>
              <w:pStyle w:val="CluesTiny"/>
            </w:pPr>
            <w:r>
              <w:rPr>
                <w:b w:val="true"/>
                <w:bCs w:val="true"/>
              </w:rPr>
              <w:t xml:space="preserve">13. </w:t>
            </w:r>
            <w:r>
              <w:t xml:space="preserve">The primary or direct meaning of a word.</w:t>
            </w:r>
          </w:p>
          <w:p>
            <w:pPr>
              <w:keepLines/>
              <w:pStyle w:val="CluesTiny"/>
            </w:pPr>
            <w:r>
              <w:rPr>
                <w:b w:val="true"/>
                <w:bCs w:val="true"/>
              </w:rPr>
              <w:t xml:space="preserve">16. </w:t>
            </w:r>
            <w:r>
              <w:t xml:space="preserve">The Jewish quarter in a city. (the slum area for minority groups)</w:t>
            </w:r>
          </w:p>
          <w:p>
            <w:pPr>
              <w:keepLines/>
              <w:pStyle w:val="CluesTiny"/>
            </w:pPr>
            <w:r>
              <w:rPr>
                <w:b w:val="true"/>
                <w:bCs w:val="true"/>
              </w:rPr>
              <w:t xml:space="preserve">18. </w:t>
            </w:r>
            <w:r>
              <w:t xml:space="preserve">Guerilla fighter who is a member of a civilian force fighting to drive out enemy troops occupying a country.</w:t>
            </w:r>
          </w:p>
          <w:p>
            <w:pPr>
              <w:keepLines/>
              <w:pStyle w:val="CluesTiny"/>
            </w:pPr>
            <w:r>
              <w:rPr>
                <w:b w:val="true"/>
                <w:bCs w:val="true"/>
              </w:rPr>
              <w:t xml:space="preserve">22. </w:t>
            </w:r>
            <w:r>
              <w:t xml:space="preserve">Not ashamed or apologetic; boldly certain of one's position. </w:t>
            </w:r>
          </w:p>
          <w:p>
            <w:pPr>
              <w:keepLines/>
              <w:pStyle w:val="CluesTiny"/>
            </w:pPr>
            <w:r>
              <w:rPr>
                <w:b w:val="true"/>
                <w:bCs w:val="true"/>
              </w:rPr>
              <w:t xml:space="preserve">26. </w:t>
            </w:r>
            <w:r>
              <w:t xml:space="preserve">To expel a foreigner from a country.</w:t>
            </w:r>
          </w:p>
          <w:p>
            <w:pPr>
              <w:keepLines/>
              <w:pStyle w:val="CluesTiny"/>
            </w:pPr>
            <w:r>
              <w:rPr>
                <w:b w:val="true"/>
                <w:bCs w:val="true"/>
              </w:rPr>
              <w:t xml:space="preserve">27. </w:t>
            </w:r>
            <w:r>
              <w:t xml:space="preserve">To set free from imprisonment. </w:t>
            </w:r>
          </w:p>
          <w:p>
            <w:pPr>
              <w:keepLines/>
              <w:pStyle w:val="CluesTiny"/>
            </w:pPr>
            <w:r>
              <w:rPr>
                <w:b w:val="true"/>
                <w:bCs w:val="true"/>
              </w:rPr>
              <w:t xml:space="preserve">28. </w:t>
            </w:r>
            <w:r>
              <w:t xml:space="preserve">Relating to people of Caucasian race not of Jewish decent. </w:t>
            </w:r>
          </w:p>
          <w:p>
            <w:pPr>
              <w:keepLines/>
              <w:pStyle w:val="CluesTiny"/>
            </w:pPr>
            <w:r>
              <w:rPr>
                <w:b w:val="true"/>
                <w:bCs w:val="true"/>
              </w:rPr>
              <w:t xml:space="preserve">30. </w:t>
            </w:r>
            <w:r>
              <w:t xml:space="preserve">To mock at</w:t>
            </w:r>
          </w:p>
          <w:p>
            <w:pPr>
              <w:keepLines/>
              <w:pStyle w:val="CluesTiny"/>
            </w:pPr>
            <w:r>
              <w:rPr>
                <w:b w:val="true"/>
                <w:bCs w:val="true"/>
              </w:rPr>
              <w:t xml:space="preserve">31. </w:t>
            </w:r>
            <w:r>
              <w:t xml:space="preserve">Hostility or prejudice against Jews.  </w:t>
            </w:r>
          </w:p>
          <w:p>
            <w:pPr>
              <w:keepLines/>
              <w:pStyle w:val="CluesTiny"/>
            </w:pPr>
            <w:r>
              <w:rPr>
                <w:b w:val="true"/>
                <w:bCs w:val="true"/>
              </w:rPr>
              <w:t xml:space="preserve">33. </w:t>
            </w:r>
            <w:r>
              <w:t xml:space="preserve">A place where people were imprisoned in a small area. (sometimes forced to work or await large execution)</w:t>
            </w:r>
          </w:p>
          <w:p>
            <w:pPr>
              <w:keepLines/>
              <w:pStyle w:val="CluesTiny"/>
            </w:pPr>
            <w:r>
              <w:rPr>
                <w:b w:val="true"/>
                <w:bCs w:val="true"/>
              </w:rPr>
              <w:t xml:space="preserve">35. </w:t>
            </w:r>
            <w:r>
              <w:t xml:space="preserve">To tell or give as proof, especially under oath in court, to be a witness in court.</w:t>
            </w:r>
          </w:p>
          <w:p>
            <w:pPr>
              <w:keepLines/>
              <w:pStyle w:val="CluesTiny"/>
            </w:pPr>
            <w:r>
              <w:rPr>
                <w:b w:val="true"/>
                <w:bCs w:val="true"/>
              </w:rPr>
              <w:t xml:space="preserve">36. </w:t>
            </w:r>
            <w:r>
              <w:t xml:space="preserve">A member of the National Socialist German Workers' Party.</w:t>
            </w:r>
          </w:p>
          <w:p>
            <w:pPr>
              <w:keepLines/>
              <w:pStyle w:val="CluesTiny"/>
            </w:pPr>
            <w:r>
              <w:rPr>
                <w:b w:val="true"/>
                <w:bCs w:val="true"/>
              </w:rPr>
              <w:t xml:space="preserve">37. </w:t>
            </w:r>
            <w:r>
              <w:t xml:space="preserve">Highly offensive or unpleasant.  </w:t>
            </w:r>
          </w:p>
          <w:p>
            <w:pPr>
              <w:keepLines/>
              <w:pStyle w:val="CluesTiny"/>
            </w:pPr>
            <w:r>
              <w:rPr>
                <w:b w:val="true"/>
                <w:bCs w:val="true"/>
              </w:rPr>
              <w:t xml:space="preserve">38. </w:t>
            </w:r>
            <w:r>
              <w:t xml:space="preserve">Wild and noisy disorder or confusion; uproar</w:t>
            </w:r>
          </w:p>
          <w:p>
            <w:pPr>
              <w:keepLines/>
              <w:pStyle w:val="CluesTiny"/>
            </w:pPr>
            <w:r>
              <w:rPr>
                <w:b w:val="true"/>
                <w:bCs w:val="true"/>
              </w:rPr>
              <w:t xml:space="preserve">39. </w:t>
            </w:r>
            <w:r>
              <w:t xml:space="preserve">Showing great attention to detail; precise.</w:t>
            </w:r>
          </w:p>
          <w:p>
            <w:pPr>
              <w:keepLines/>
              <w:pStyle w:val="CluesTiny"/>
            </w:pPr>
            <w:r>
              <w:rPr>
                <w:b w:val="true"/>
                <w:bCs w:val="true"/>
              </w:rPr>
              <w:t xml:space="preserve">40. </w:t>
            </w:r>
            <w:r>
              <w:t xml:space="preserve">Making changes for the sake of the overall effect.</w:t>
            </w:r>
          </w:p>
          <w:p>
            <w:pPr>
              <w:keepLines/>
              <w:pStyle w:val="CluesTiny"/>
            </w:pPr>
            <w:r>
              <w:rPr>
                <w:b w:val="true"/>
                <w:bCs w:val="true"/>
              </w:rPr>
              <w:t xml:space="preserve">41. </w:t>
            </w:r>
            <w:r>
              <w:t xml:space="preserve">The leave one country or region to settle in another. </w:t>
            </w:r>
          </w:p>
          <w:p>
            <w:pPr>
              <w:keepLines/>
              <w:pStyle w:val="CluesTiny"/>
            </w:pPr>
            <w:r>
              <w:rPr>
                <w:b w:val="true"/>
                <w:bCs w:val="true"/>
              </w:rPr>
              <w:t xml:space="preserve">42. </w:t>
            </w:r>
            <w:r>
              <w:t xml:space="preserve">Expressing strong displeasure or annoyance at something perceived as unfair.</w:t>
            </w:r>
          </w:p>
          <w:p>
            <w:pPr>
              <w:keepLines/>
              <w:pStyle w:val="CluesTiny"/>
            </w:pPr>
            <w:r>
              <w:rPr>
                <w:b w:val="true"/>
                <w:bCs w:val="true"/>
              </w:rPr>
              <w:t xml:space="preserve">43. </w:t>
            </w:r>
            <w:r>
              <w:t xml:space="preserve"> To compose and perform without previous preparation.</w:t>
            </w:r>
          </w:p>
          <w:p>
            <w:pPr>
              <w:keepLines/>
              <w:pStyle w:val="CluesTiny"/>
            </w:pPr>
            <w:r>
              <w:rPr>
                <w:b w:val="true"/>
                <w:bCs w:val="true"/>
              </w:rPr>
              <w:t xml:space="preserve">44. </w:t>
            </w:r>
            <w:r>
              <w:t xml:space="preserve">A feeling that something bad will happen.</w:t>
            </w:r>
          </w:p>
          <w:p>
            <w:pPr>
              <w:keepLines/>
              <w:pStyle w:val="CluesTiny"/>
            </w:pPr>
            <w:r>
              <w:rPr>
                <w:b w:val="true"/>
                <w:bCs w:val="true"/>
              </w:rPr>
              <w:t xml:space="preserve">45. </w:t>
            </w:r>
            <w:r>
              <w:t xml:space="preserve">Mainly responsible for carrying out final solutions, surveillance, and terror within Germany (to keep people following Nazi ways a beliefs)</w:t>
            </w:r>
          </w:p>
        </w:tc>
        <w:tc>
          <w:p>
            <w:pPr>
              <w:pStyle w:val="CluesTiny"/>
            </w:pPr>
            <w:r>
              <w:rPr>
                <w:b w:val="true"/>
                <w:bCs w:val="true"/>
              </w:rPr>
              <w:t xml:space="preserve">Down</w:t>
            </w:r>
          </w:p>
          <w:p>
            <w:pPr>
              <w:keepLines/>
              <w:pStyle w:val="CluesTiny"/>
            </w:pPr>
            <w:r>
              <w:rPr>
                <w:b w:val="true"/>
                <w:bCs w:val="true"/>
              </w:rPr>
              <w:t xml:space="preserve">2. </w:t>
            </w:r>
            <w:r>
              <w:t xml:space="preserve">The ability to understand something immediately.</w:t>
            </w:r>
          </w:p>
          <w:p>
            <w:pPr>
              <w:keepLines/>
              <w:pStyle w:val="CluesTiny"/>
            </w:pPr>
            <w:r>
              <w:rPr>
                <w:b w:val="true"/>
                <w:bCs w:val="true"/>
              </w:rPr>
              <w:t xml:space="preserve">4. </w:t>
            </w:r>
            <w:r>
              <w:t xml:space="preserve">The intentional killing of a large group of people, especially of a particular ethnic group or nation.</w:t>
            </w:r>
          </w:p>
          <w:p>
            <w:pPr>
              <w:keepLines/>
              <w:pStyle w:val="CluesTiny"/>
            </w:pPr>
            <w:r>
              <w:rPr>
                <w:b w:val="true"/>
                <w:bCs w:val="true"/>
              </w:rPr>
              <w:t xml:space="preserve">5. </w:t>
            </w:r>
            <w:r>
              <w:t xml:space="preserve">The acceptance of all things and events as inevitable</w:t>
            </w:r>
          </w:p>
          <w:p>
            <w:pPr>
              <w:keepLines/>
              <w:pStyle w:val="CluesTiny"/>
            </w:pPr>
            <w:r>
              <w:rPr>
                <w:b w:val="true"/>
                <w:bCs w:val="true"/>
              </w:rPr>
              <w:t xml:space="preserve">7. </w:t>
            </w:r>
            <w:r>
              <w:t xml:space="preserve">The extinguishing of all visible lights in a city. </w:t>
            </w:r>
          </w:p>
          <w:p>
            <w:pPr>
              <w:keepLines/>
              <w:pStyle w:val="CluesTiny"/>
            </w:pPr>
            <w:r>
              <w:rPr>
                <w:b w:val="true"/>
                <w:bCs w:val="true"/>
              </w:rPr>
              <w:t xml:space="preserve">9. </w:t>
            </w:r>
            <w:r>
              <w:t xml:space="preserve">Physically weak</w:t>
            </w:r>
          </w:p>
          <w:p>
            <w:pPr>
              <w:keepLines/>
              <w:pStyle w:val="CluesTiny"/>
            </w:pPr>
            <w:r>
              <w:rPr>
                <w:b w:val="true"/>
                <w:bCs w:val="true"/>
              </w:rPr>
              <w:t xml:space="preserve">11. </w:t>
            </w:r>
            <w:r>
              <w:t xml:space="preserve">Secretly or furtively. </w:t>
            </w:r>
          </w:p>
          <w:p>
            <w:pPr>
              <w:keepLines/>
              <w:pStyle w:val="CluesTiny"/>
            </w:pPr>
            <w:r>
              <w:rPr>
                <w:b w:val="true"/>
                <w:bCs w:val="true"/>
              </w:rPr>
              <w:t xml:space="preserve">12. </w:t>
            </w:r>
            <w:r>
              <w:t xml:space="preserve">To walk with a stiff or angry manner; harass.</w:t>
            </w:r>
          </w:p>
          <w:p>
            <w:pPr>
              <w:keepLines/>
              <w:pStyle w:val="CluesTiny"/>
            </w:pPr>
            <w:r>
              <w:rPr>
                <w:b w:val="true"/>
                <w:bCs w:val="true"/>
              </w:rPr>
              <w:t xml:space="preserve">14. </w:t>
            </w:r>
            <w:r>
              <w:t xml:space="preserve">Great energy or enthusiasm in pursuit of a cause or an objective. </w:t>
            </w:r>
          </w:p>
          <w:p>
            <w:pPr>
              <w:keepLines/>
              <w:pStyle w:val="CluesTiny"/>
            </w:pPr>
            <w:r>
              <w:rPr>
                <w:b w:val="true"/>
                <w:bCs w:val="true"/>
              </w:rPr>
              <w:t xml:space="preserve">15. </w:t>
            </w:r>
            <w:r>
              <w:t xml:space="preserve">The way a character looks, feels, or behaves.</w:t>
            </w:r>
          </w:p>
          <w:p>
            <w:pPr>
              <w:keepLines/>
              <w:pStyle w:val="CluesTiny"/>
            </w:pPr>
            <w:r>
              <w:rPr>
                <w:b w:val="true"/>
                <w:bCs w:val="true"/>
              </w:rPr>
              <w:t xml:space="preserve">17. </w:t>
            </w:r>
            <w:r>
              <w:t xml:space="preserve">The feeling or expression of joy.</w:t>
            </w:r>
          </w:p>
          <w:p>
            <w:pPr>
              <w:keepLines/>
              <w:pStyle w:val="CluesTiny"/>
            </w:pPr>
            <w:r>
              <w:rPr>
                <w:b w:val="true"/>
                <w:bCs w:val="true"/>
              </w:rPr>
              <w:t xml:space="preserve">19. </w:t>
            </w:r>
            <w:r>
              <w:t xml:space="preserve">Lacking the ability to express oneself, especially in clear and effective speech.</w:t>
            </w:r>
          </w:p>
          <w:p>
            <w:pPr>
              <w:keepLines/>
              <w:pStyle w:val="CluesTiny"/>
            </w:pPr>
            <w:r>
              <w:rPr>
                <w:b w:val="true"/>
                <w:bCs w:val="true"/>
              </w:rPr>
              <w:t xml:space="preserve">20. </w:t>
            </w:r>
            <w:r>
              <w:t xml:space="preserve">This person was a German politician who lead the Nazi party. </w:t>
            </w:r>
          </w:p>
          <w:p>
            <w:pPr>
              <w:keepLines/>
              <w:pStyle w:val="CluesTiny"/>
            </w:pPr>
            <w:r>
              <w:rPr>
                <w:b w:val="true"/>
                <w:bCs w:val="true"/>
              </w:rPr>
              <w:t xml:space="preserve">21. </w:t>
            </w:r>
            <w:r>
              <w:t xml:space="preserve">A set of stationary bells hung in a tower. </w:t>
            </w:r>
          </w:p>
          <w:p>
            <w:pPr>
              <w:keepLines/>
              <w:pStyle w:val="CluesTiny"/>
            </w:pPr>
            <w:r>
              <w:rPr>
                <w:b w:val="true"/>
                <w:bCs w:val="true"/>
              </w:rPr>
              <w:t xml:space="preserve">23. </w:t>
            </w:r>
            <w:r>
              <w:t xml:space="preserve">To fill with horror.</w:t>
            </w:r>
          </w:p>
          <w:p>
            <w:pPr>
              <w:keepLines/>
              <w:pStyle w:val="CluesTiny"/>
            </w:pPr>
            <w:r>
              <w:rPr>
                <w:b w:val="true"/>
                <w:bCs w:val="true"/>
              </w:rPr>
              <w:t xml:space="preserve">24. </w:t>
            </w:r>
            <w:r>
              <w:t xml:space="preserve">Any special training or skill</w:t>
            </w:r>
          </w:p>
          <w:p>
            <w:pPr>
              <w:keepLines/>
              <w:pStyle w:val="CluesTiny"/>
            </w:pPr>
            <w:r>
              <w:rPr>
                <w:b w:val="true"/>
                <w:bCs w:val="true"/>
              </w:rPr>
              <w:t xml:space="preserve">25. </w:t>
            </w:r>
            <w:r>
              <w:t xml:space="preserve">A place where a persons body is burned. </w:t>
            </w:r>
          </w:p>
          <w:p>
            <w:pPr>
              <w:keepLines/>
              <w:pStyle w:val="CluesTiny"/>
            </w:pPr>
            <w:r>
              <w:rPr>
                <w:b w:val="true"/>
                <w:bCs w:val="true"/>
              </w:rPr>
              <w:t xml:space="preserve">29. </w:t>
            </w:r>
            <w:r>
              <w:t xml:space="preserve">Mass murder of Jews under German Nazi regime more than 6 million people were murdered at concentration camps. (1941-1945)</w:t>
            </w:r>
          </w:p>
          <w:p>
            <w:pPr>
              <w:keepLines/>
              <w:pStyle w:val="CluesTiny"/>
            </w:pPr>
            <w:r>
              <w:rPr>
                <w:b w:val="true"/>
                <w:bCs w:val="true"/>
              </w:rPr>
              <w:t xml:space="preserve">32. </w:t>
            </w:r>
            <w:r>
              <w:t xml:space="preserve">The building where a Jewish assembly or congregation meets for religious worship and instruction</w:t>
            </w:r>
          </w:p>
          <w:p>
            <w:pPr>
              <w:keepLines/>
              <w:pStyle w:val="CluesTiny"/>
            </w:pPr>
            <w:r>
              <w:rPr>
                <w:b w:val="true"/>
                <w:bCs w:val="true"/>
              </w:rPr>
              <w:t xml:space="preserve">34. </w:t>
            </w:r>
            <w:r>
              <w:t xml:space="preserve">To feel disgust or intense hate for.</w:t>
            </w:r>
          </w:p>
        </w:tc>
      </w:tr>
    </w:tbl>
    <w:p>
      <w:pPr>
        <w:pStyle w:val="WordBankLarge"/>
      </w:pPr>
      <w:r>
        <w:t xml:space="preserve">   ANTISEMITISM    </w:t>
      </w:r>
      <w:r>
        <w:t xml:space="preserve">   ARYAN    </w:t>
      </w:r>
      <w:r>
        <w:t xml:space="preserve">   CHARACTERIZATION    </w:t>
      </w:r>
      <w:r>
        <w:t xml:space="preserve">   CONCENTRATION CAMP    </w:t>
      </w:r>
      <w:r>
        <w:t xml:space="preserve">   CONNOTATION    </w:t>
      </w:r>
      <w:r>
        <w:t xml:space="preserve">   CREMATORIUM    </w:t>
      </w:r>
      <w:r>
        <w:t xml:space="preserve">   DENOTATION    </w:t>
      </w:r>
      <w:r>
        <w:t xml:space="preserve">   DEPORT    </w:t>
      </w:r>
      <w:r>
        <w:t xml:space="preserve">   DRAMATIC LICENSE    </w:t>
      </w:r>
      <w:r>
        <w:t xml:space="preserve">   EMIGRATED    </w:t>
      </w:r>
      <w:r>
        <w:t xml:space="preserve">   FEEBLE    </w:t>
      </w:r>
      <w:r>
        <w:t xml:space="preserve">   FOREBODING    </w:t>
      </w:r>
      <w:r>
        <w:t xml:space="preserve">   GENOCIDE    </w:t>
      </w:r>
      <w:r>
        <w:t xml:space="preserve">   GHETTO    </w:t>
      </w:r>
      <w:r>
        <w:t xml:space="preserve">   HITLER    </w:t>
      </w:r>
      <w:r>
        <w:t xml:space="preserve">   HOLOCAUST    </w:t>
      </w:r>
      <w:r>
        <w:t xml:space="preserve">   INDIGNANTLY    </w:t>
      </w:r>
      <w:r>
        <w:t xml:space="preserve">   INTUITION    </w:t>
      </w:r>
      <w:r>
        <w:t xml:space="preserve">   JUBILATION    </w:t>
      </w:r>
      <w:r>
        <w:t xml:space="preserve">   LIBERATED    </w:t>
      </w:r>
      <w:r>
        <w:t xml:space="preserve">   loathe    </w:t>
      </w:r>
      <w:r>
        <w:t xml:space="preserve">   METICULOUS    </w:t>
      </w:r>
      <w:r>
        <w:t xml:space="preserve">   NAZI    </w:t>
      </w:r>
      <w:r>
        <w:t xml:space="preserve">   PANDEMONIUM    </w:t>
      </w:r>
      <w:r>
        <w:t xml:space="preserve">   PARTISAN    </w:t>
      </w:r>
      <w:r>
        <w:t xml:space="preserve">   REMORSE    </w:t>
      </w:r>
      <w:r>
        <w:t xml:space="preserve">   SCOFFINGLY    </w:t>
      </w:r>
      <w:r>
        <w:t xml:space="preserve">   SS OFFICER    </w:t>
      </w:r>
      <w:r>
        <w:t xml:space="preserve">   STAGE DIRECTIONS    </w:t>
      </w:r>
      <w:r>
        <w:t xml:space="preserve">   STALKS    </w:t>
      </w:r>
      <w:r>
        <w:t xml:space="preserve">   STEALTHILY    </w:t>
      </w:r>
      <w:r>
        <w:t xml:space="preserve">   SYNAGOGUE    </w:t>
      </w:r>
      <w:r>
        <w:t xml:space="preserve">   TESTIFY    </w:t>
      </w:r>
      <w:r>
        <w:t xml:space="preserve">   TRADE    </w:t>
      </w:r>
      <w:r>
        <w:t xml:space="preserve">   UNABASHED    </w:t>
      </w:r>
      <w:r>
        <w:t xml:space="preserve">   VILE    </w:t>
      </w:r>
      <w:r>
        <w:t xml:space="preserve">   ZEAL    </w:t>
      </w:r>
      <w:r>
        <w:t xml:space="preserve">   APPALLED    </w:t>
      </w:r>
      <w:r>
        <w:t xml:space="preserve">   CARILLON     </w:t>
      </w:r>
      <w:r>
        <w:t xml:space="preserve">   BLACKOUT    </w:t>
      </w:r>
      <w:r>
        <w:t xml:space="preserve">   FATALIST    </w:t>
      </w:r>
      <w:r>
        <w:t xml:space="preserve">   DISGRUNTLED    </w:t>
      </w:r>
      <w:r>
        <w:t xml:space="preserve">   INARTICULATE    </w:t>
      </w:r>
      <w:r>
        <w:t xml:space="preserve">   INSUFFERABLE     </w:t>
      </w:r>
      <w:r>
        <w:t xml:space="preserve">   improvise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Vocab </dc:title>
  <dcterms:created xsi:type="dcterms:W3CDTF">2021-10-11T09:09:12Z</dcterms:created>
  <dcterms:modified xsi:type="dcterms:W3CDTF">2021-10-11T09:09:12Z</dcterms:modified>
</cp:coreProperties>
</file>