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Owner's Loan Act 1933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bigger houses    </w:t>
      </w:r>
      <w:r>
        <w:t xml:space="preserve">   small houses    </w:t>
      </w:r>
      <w:r>
        <w:t xml:space="preserve">   reform    </w:t>
      </w:r>
      <w:r>
        <w:t xml:space="preserve">   prevention    </w:t>
      </w:r>
      <w:r>
        <w:t xml:space="preserve">   mortgages    </w:t>
      </w:r>
      <w:r>
        <w:t xml:space="preserve">   refinance    </w:t>
      </w:r>
      <w:r>
        <w:t xml:space="preserve">   holc    </w:t>
      </w:r>
      <w:r>
        <w:t xml:space="preserve">   World War II    </w:t>
      </w:r>
      <w:r>
        <w:t xml:space="preserve">   new deal    </w:t>
      </w:r>
      <w:r>
        <w:t xml:space="preserve">   Great Depression    </w:t>
      </w:r>
      <w:r>
        <w:t xml:space="preserve">   Franklin D. Roosevelt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Owner's Loan Act 1933</dc:title>
  <dcterms:created xsi:type="dcterms:W3CDTF">2021-10-11T09:10:52Z</dcterms:created>
  <dcterms:modified xsi:type="dcterms:W3CDTF">2021-10-11T09:10:52Z</dcterms:modified>
</cp:coreProperties>
</file>