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Homophones or Near Homophones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</w:tbl>
    <w:p>
      <w:pPr>
        <w:pStyle w:val="WordBankMedium"/>
      </w:pPr>
      <w:r>
        <w:t xml:space="preserve">   fate    </w:t>
      </w:r>
      <w:r>
        <w:t xml:space="preserve">   fete    </w:t>
      </w:r>
      <w:r>
        <w:t xml:space="preserve">   whose    </w:t>
      </w:r>
      <w:r>
        <w:t xml:space="preserve">   who's    </w:t>
      </w:r>
      <w:r>
        <w:t xml:space="preserve">   weary    </w:t>
      </w:r>
      <w:r>
        <w:t xml:space="preserve">   wary    </w:t>
      </w:r>
      <w:r>
        <w:t xml:space="preserve">   steel    </w:t>
      </w:r>
      <w:r>
        <w:t xml:space="preserve">   steal    </w:t>
      </w:r>
      <w:r>
        <w:t xml:space="preserve">   stationary    </w:t>
      </w:r>
      <w:r>
        <w:t xml:space="preserve">   stationery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Homophones or Near Homophones</dc:title>
  <dcterms:created xsi:type="dcterms:W3CDTF">2021-10-11T09:13:57Z</dcterms:created>
  <dcterms:modified xsi:type="dcterms:W3CDTF">2021-10-11T09:13:57Z</dcterms:modified>
</cp:coreProperties>
</file>