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Dignity and Human sexuality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dignity of human person    </w:t>
      </w:r>
      <w:r>
        <w:t xml:space="preserve">   Harmony of creation    </w:t>
      </w:r>
      <w:r>
        <w:t xml:space="preserve">   human beings    </w:t>
      </w:r>
      <w:r>
        <w:t xml:space="preserve">   attractions and feelings    </w:t>
      </w:r>
      <w:r>
        <w:t xml:space="preserve">   Fundamental dimension    </w:t>
      </w:r>
      <w:r>
        <w:t xml:space="preserve">   affections    </w:t>
      </w:r>
      <w:r>
        <w:t xml:space="preserve">   emotions and feelings    </w:t>
      </w:r>
      <w:r>
        <w:t xml:space="preserve">   expression of person    </w:t>
      </w:r>
      <w:r>
        <w:t xml:space="preserve">   fundemental identity    </w:t>
      </w:r>
      <w:r>
        <w:t xml:space="preserve">   human dignity    </w:t>
      </w:r>
      <w:r>
        <w:t xml:space="preserve">   image and likeness of God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Dignity and Human sexuality</dc:title>
  <dcterms:created xsi:type="dcterms:W3CDTF">2021-10-11T09:22:55Z</dcterms:created>
  <dcterms:modified xsi:type="dcterms:W3CDTF">2021-10-11T09:22:55Z</dcterms:modified>
</cp:coreProperties>
</file>