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adolescent    </w:t>
      </w:r>
      <w:r>
        <w:t xml:space="preserve">   children    </w:t>
      </w:r>
      <w:r>
        <w:t xml:space="preserve">   early adulthood    </w:t>
      </w:r>
      <w:r>
        <w:t xml:space="preserve">   early childhood    </w:t>
      </w:r>
      <w:r>
        <w:t xml:space="preserve">   infancy    </w:t>
      </w:r>
      <w:r>
        <w:t xml:space="preserve">   intellectual    </w:t>
      </w:r>
      <w:r>
        <w:t xml:space="preserve">   later adulthood    </w:t>
      </w:r>
      <w:r>
        <w:t xml:space="preserve">   oestrogen    </w:t>
      </w:r>
      <w:r>
        <w:t xml:space="preserve">   physical development    </w:t>
      </w:r>
      <w:r>
        <w:t xml:space="preserve">   testosterone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development</dc:title>
  <dcterms:created xsi:type="dcterms:W3CDTF">2021-10-11T09:22:51Z</dcterms:created>
  <dcterms:modified xsi:type="dcterms:W3CDTF">2021-10-11T09:22:51Z</dcterms:modified>
</cp:coreProperties>
</file>