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ICDAFORREST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connective    </w:t>
      </w:r>
      <w:r>
        <w:t xml:space="preserve">   direct address    </w:t>
      </w:r>
      <w:r>
        <w:t xml:space="preserve">   emotive language    </w:t>
      </w:r>
      <w:r>
        <w:t xml:space="preserve">   facts    </w:t>
      </w:r>
      <w:r>
        <w:t xml:space="preserve">   imperative    </w:t>
      </w:r>
      <w:r>
        <w:t xml:space="preserve">   opinion    </w:t>
      </w:r>
      <w:r>
        <w:t xml:space="preserve">   repitition    </w:t>
      </w:r>
      <w:r>
        <w:t xml:space="preserve">   rhetorical question    </w:t>
      </w:r>
      <w:r>
        <w:t xml:space="preserve">   statistics    </w:t>
      </w:r>
      <w:r>
        <w:t xml:space="preserve">   triplet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ICDAFORREST</dc:title>
  <dcterms:created xsi:type="dcterms:W3CDTF">2021-10-11T09:30:45Z</dcterms:created>
  <dcterms:modified xsi:type="dcterms:W3CDTF">2021-10-11T09:30:45Z</dcterms:modified>
</cp:coreProperties>
</file>