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INSURANCE TERMINOLOGY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an insurance policy offered by the employer to a group of employees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Insurance for active and retired military and their families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Managed Care Organization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patient seen in a provider’s office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when a patient has more than one insurance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Universal product identifier for drugs established by the FDA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 patient who is admitted to the hospital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outpatient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10 Digit number assigned to a physician for billing and identification purposes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parties for issuing insurance policies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INSURANCE FOR Service related Disabilities and their families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a type of managed healthcare plan that allows the patient to choose between an HMO, PPO, or Indemnity Plan at the time of service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authorization from an insurance company that allow the patient to receive treatment or service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31. </w:t>
            </w:r>
            <w:r>
              <w:t xml:space="preserve">physician, doctor, clinician, MD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32. </w:t>
            </w:r>
            <w:r>
              <w:t xml:space="preserve">signature require that notifies the insurance company they can get medical records from the treating physician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33. </w:t>
            </w:r>
            <w:r>
              <w:t xml:space="preserve">Insurance that covers an injury on the job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transfer of patient care from one provider to another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signature required to assure direct payment to provider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any insurance not paid for by the government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amount the insured pays before the insurance company pays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insured, policy holder, beneficiary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AMA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Child Health Insurance Program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sent to the provider identifying the patient, services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EOB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patient eligible to receive health insurance thru Medicare and Medicaid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establishes what parent is the primary insurance when a child is a dependent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Primary Care Provider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Centers for Medicare and Medicaid Services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insurance that covers you in an Automobile insurance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Preferred Provider Organization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a fixed dollar amount the patient is responsible to pay at each office visit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Health Maintenance Organization </w:t>
            </w:r>
          </w:p>
        </w:tc>
      </w:tr>
    </w:tbl>
    <w:p>
      <w:pPr>
        <w:pStyle w:val="WordBankLarge"/>
      </w:pPr>
      <w:r>
        <w:t xml:space="preserve">   Assignmentofbenefits     </w:t>
      </w:r>
      <w:r>
        <w:t xml:space="preserve">   Signature on file     </w:t>
      </w:r>
      <w:r>
        <w:t xml:space="preserve">   NPI     </w:t>
      </w:r>
      <w:r>
        <w:t xml:space="preserve">   NDC    </w:t>
      </w:r>
      <w:r>
        <w:t xml:space="preserve">   Carriers    </w:t>
      </w:r>
      <w:r>
        <w:t xml:space="preserve">   Commercialhealthplan     </w:t>
      </w:r>
      <w:r>
        <w:t xml:space="preserve">   Copayment     </w:t>
      </w:r>
      <w:r>
        <w:t xml:space="preserve">   Deductible    </w:t>
      </w:r>
      <w:r>
        <w:t xml:space="preserve">   Groupinsurance     </w:t>
      </w:r>
      <w:r>
        <w:t xml:space="preserve">   HMO     </w:t>
      </w:r>
      <w:r>
        <w:t xml:space="preserve">   Inpatient    </w:t>
      </w:r>
      <w:r>
        <w:t xml:space="preserve">   Ambulatory     </w:t>
      </w:r>
      <w:r>
        <w:t xml:space="preserve">   MCO    </w:t>
      </w:r>
      <w:r>
        <w:t xml:space="preserve">   Outpatient    </w:t>
      </w:r>
      <w:r>
        <w:t xml:space="preserve">   POS    </w:t>
      </w:r>
      <w:r>
        <w:t xml:space="preserve">   Preauthorization    </w:t>
      </w:r>
      <w:r>
        <w:t xml:space="preserve">   PPO    </w:t>
      </w:r>
      <w:r>
        <w:t xml:space="preserve">   PCP     </w:t>
      </w:r>
      <w:r>
        <w:t xml:space="preserve">   Provider    </w:t>
      </w:r>
      <w:r>
        <w:t xml:space="preserve">   Referral     </w:t>
      </w:r>
      <w:r>
        <w:t xml:space="preserve">   Subscriber     </w:t>
      </w:r>
      <w:r>
        <w:t xml:space="preserve">   COB    </w:t>
      </w:r>
      <w:r>
        <w:t xml:space="preserve">   Beneficiary    </w:t>
      </w:r>
      <w:r>
        <w:t xml:space="preserve">   CMS    </w:t>
      </w:r>
      <w:r>
        <w:t xml:space="preserve">   CHIP    </w:t>
      </w:r>
      <w:r>
        <w:t xml:space="preserve">   American Medical Association     </w:t>
      </w:r>
      <w:r>
        <w:t xml:space="preserve">   Birthday rule     </w:t>
      </w:r>
      <w:r>
        <w:t xml:space="preserve">   ExplanationofBenefits     </w:t>
      </w:r>
      <w:r>
        <w:t xml:space="preserve">   Remittance Advice     </w:t>
      </w:r>
      <w:r>
        <w:t xml:space="preserve">   Workerscompensation    </w:t>
      </w:r>
      <w:r>
        <w:t xml:space="preserve">   No-fault     </w:t>
      </w:r>
      <w:r>
        <w:t xml:space="preserve">   CHAMPVA    </w:t>
      </w:r>
      <w:r>
        <w:t xml:space="preserve">   TRICARE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INSURANCE TERMINOLOGY</dc:title>
  <dcterms:created xsi:type="dcterms:W3CDTF">2021-10-11T09:44:14Z</dcterms:created>
  <dcterms:modified xsi:type="dcterms:W3CDTF">2021-10-11T09:44:14Z</dcterms:modified>
</cp:coreProperties>
</file>