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and Expenditure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benefits in kind    </w:t>
      </w:r>
      <w:r>
        <w:t xml:space="preserve">   overtime    </w:t>
      </w:r>
      <w:r>
        <w:t xml:space="preserve">   commission    </w:t>
      </w:r>
      <w:r>
        <w:t xml:space="preserve">   pocket money    </w:t>
      </w:r>
      <w:r>
        <w:t xml:space="preserve">   Lottery    </w:t>
      </w:r>
      <w:r>
        <w:t xml:space="preserve">   Salaries    </w:t>
      </w:r>
      <w:r>
        <w:t xml:space="preserve">   Wages    </w:t>
      </w:r>
      <w:r>
        <w:t xml:space="preserve">   Profit    </w:t>
      </w:r>
      <w:r>
        <w:t xml:space="preserve">   child benefit    </w:t>
      </w:r>
      <w:r>
        <w:t xml:space="preserve">   State Pension    </w:t>
      </w:r>
      <w:r>
        <w:t xml:space="preserve">   Expenditure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and Expenditure</dc:title>
  <dcterms:created xsi:type="dcterms:W3CDTF">2021-10-11T09:37:46Z</dcterms:created>
  <dcterms:modified xsi:type="dcterms:W3CDTF">2021-10-11T09:37:46Z</dcterms:modified>
</cp:coreProperties>
</file>