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Indefinite and definite articles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Chica    </w:t>
      </w:r>
      <w:r>
        <w:t xml:space="preserve">   Unas    </w:t>
      </w:r>
      <w:r>
        <w:t xml:space="preserve">   Una    </w:t>
      </w:r>
      <w:r>
        <w:t xml:space="preserve">   Unos    </w:t>
      </w:r>
      <w:r>
        <w:t xml:space="preserve">   Un    </w:t>
      </w:r>
      <w:r>
        <w:t xml:space="preserve">   Chico    </w:t>
      </w:r>
      <w:r>
        <w:t xml:space="preserve">   Las    </w:t>
      </w:r>
      <w:r>
        <w:t xml:space="preserve">   La    </w:t>
      </w:r>
      <w:r>
        <w:t xml:space="preserve">   Los    </w:t>
      </w:r>
      <w:r>
        <w:t xml:space="preserve">   El    </w:t>
      </w:r>
      <w:r>
        <w:t xml:space="preserve">   Chicos    </w:t>
      </w:r>
      <w:r>
        <w:t xml:space="preserve">   Chicas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Indefinite and definite articles </dc:title>
  <dcterms:created xsi:type="dcterms:W3CDTF">2021-10-11T09:36:46Z</dcterms:created>
  <dcterms:modified xsi:type="dcterms:W3CDTF">2021-10-11T09:36:46Z</dcterms:modified>
</cp:coreProperties>
</file>