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Indigenous land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men    </w:t>
      </w:r>
      <w:r>
        <w:t xml:space="preserve">   women    </w:t>
      </w:r>
      <w:r>
        <w:t xml:space="preserve">   water    </w:t>
      </w:r>
      <w:r>
        <w:t xml:space="preserve">   fire    </w:t>
      </w:r>
      <w:r>
        <w:t xml:space="preserve">   grasslands    </w:t>
      </w:r>
      <w:r>
        <w:t xml:space="preserve">   resources    </w:t>
      </w:r>
      <w:r>
        <w:t xml:space="preserve">   animals    </w:t>
      </w:r>
      <w:r>
        <w:t xml:space="preserve">   aboriginal    </w:t>
      </w:r>
      <w:r>
        <w:t xml:space="preserve">   land    </w:t>
      </w:r>
      <w:r>
        <w:t xml:space="preserve">   sustainability    </w:t>
      </w:r>
      <w:r>
        <w:t xml:space="preserve">   hunting    </w:t>
      </w:r>
      <w:r>
        <w:t xml:space="preserve">   indigenous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Indigenous land management</dc:title>
  <dcterms:created xsi:type="dcterms:W3CDTF">2021-10-11T09:38:15Z</dcterms:created>
  <dcterms:modified xsi:type="dcterms:W3CDTF">2021-10-11T09:38:15Z</dcterms:modified>
</cp:coreProperties>
</file>