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Inflammation of skin and vascular lesions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disorder    </w:t>
      </w:r>
      <w:r>
        <w:t xml:space="preserve">   skin    </w:t>
      </w:r>
      <w:r>
        <w:t xml:space="preserve">   perioraldermatitis    </w:t>
      </w:r>
      <w:r>
        <w:t xml:space="preserve">   contactdermatitis    </w:t>
      </w:r>
      <w:r>
        <w:t xml:space="preserve">   atopicdermatitis    </w:t>
      </w:r>
      <w:r>
        <w:t xml:space="preserve">   dermatitis    </w:t>
      </w:r>
      <w:r>
        <w:t xml:space="preserve">   eczema    </w:t>
      </w:r>
      <w:r>
        <w:t xml:space="preserve">   inflammation    </w:t>
      </w:r>
      <w:r>
        <w:t xml:space="preserve">   vascular lesion    </w:t>
      </w:r>
      <w:r>
        <w:t xml:space="preserve">   rosacea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Inflammation of skin and vascular lesions </dc:title>
  <dcterms:created xsi:type="dcterms:W3CDTF">2021-10-11T09:41:56Z</dcterms:created>
  <dcterms:modified xsi:type="dcterms:W3CDTF">2021-10-11T09:41:56Z</dcterms:modified>
</cp:coreProperties>
</file>