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contingent    </w:t>
      </w:r>
      <w:r>
        <w:t xml:space="preserve">   creditors    </w:t>
      </w:r>
      <w:r>
        <w:t xml:space="preserve">   debtors    </w:t>
      </w:r>
      <w:r>
        <w:t xml:space="preserve">   liability    </w:t>
      </w:r>
      <w:r>
        <w:t xml:space="preserve">   liquid assets    </w:t>
      </w:r>
      <w:r>
        <w:t xml:space="preserve">   intangible    </w:t>
      </w:r>
      <w:r>
        <w:t xml:space="preserve">   tangible    </w:t>
      </w:r>
      <w:r>
        <w:t xml:space="preserve">   transactions    </w:t>
      </w:r>
      <w:r>
        <w:t xml:space="preserve">   business    </w:t>
      </w:r>
      <w:r>
        <w:t xml:space="preserve">   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terms:created xsi:type="dcterms:W3CDTF">2021-10-11T09:48:40Z</dcterms:created>
  <dcterms:modified xsi:type="dcterms:W3CDTF">2021-10-11T09:48:40Z</dcterms:modified>
</cp:coreProperties>
</file>