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Subjunctive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Vayamos    </w:t>
      </w:r>
      <w:r>
        <w:t xml:space="preserve">   Des    </w:t>
      </w:r>
      <w:r>
        <w:t xml:space="preserve">   Esten    </w:t>
      </w:r>
      <w:r>
        <w:t xml:space="preserve">   Sepamos    </w:t>
      </w:r>
      <w:r>
        <w:t xml:space="preserve">   Demos    </w:t>
      </w:r>
      <w:r>
        <w:t xml:space="preserve">   Haya    </w:t>
      </w:r>
      <w:r>
        <w:t xml:space="preserve">   Seais    </w:t>
      </w:r>
      <w:r>
        <w:t xml:space="preserve">   Vayan    </w:t>
      </w:r>
      <w:r>
        <w:t xml:space="preserve">   Este    </w:t>
      </w:r>
      <w:r>
        <w:t xml:space="preserve">   De    </w:t>
      </w:r>
      <w:r>
        <w:t xml:space="preserve">   Sepa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Subjunctive</dc:title>
  <dcterms:created xsi:type="dcterms:W3CDTF">2021-10-11T09:50:50Z</dcterms:created>
  <dcterms:modified xsi:type="dcterms:W3CDTF">2021-10-11T09:50:50Z</dcterms:modified>
</cp:coreProperties>
</file>