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Italy: Birthplace of the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Vernacular    </w:t>
      </w:r>
      <w:r>
        <w:t xml:space="preserve">   Perspective    </w:t>
      </w:r>
      <w:r>
        <w:t xml:space="preserve">   Patron    </w:t>
      </w:r>
      <w:r>
        <w:t xml:space="preserve">   Secular    </w:t>
      </w:r>
      <w:r>
        <w:t xml:space="preserve">   Merchants    </w:t>
      </w:r>
      <w:r>
        <w:t xml:space="preserve">   Humanism    </w:t>
      </w:r>
      <w:r>
        <w:t xml:space="preserve">   Middle Ages    </w:t>
      </w:r>
      <w:r>
        <w:t xml:space="preserve">   City-states    </w:t>
      </w:r>
      <w:r>
        <w:t xml:space="preserve">   Renaissance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Italy: Birthplace of the Renaissance </dc:title>
  <dcterms:created xsi:type="dcterms:W3CDTF">2021-10-11T09:55:30Z</dcterms:created>
  <dcterms:modified xsi:type="dcterms:W3CDTF">2021-10-11T09:55:30Z</dcterms:modified>
</cp:coreProperties>
</file>