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Jobs, Careers, &amp;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collection of past work used to document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or instinct to act or take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activities falling outside of the normal, required curriculum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to describe the vertically structured sequence of job positions through which a person can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 of specialization chosen by a student of an institution of higher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financial aid given to a student of an institution of higher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requires 60 hours of coursework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mental well being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financial aid provided on the terms it will be repaid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relates to labor and working with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level to which someone is likely to gain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emotional and physical exhaustion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skills needed to be effective in any job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advanced degree earned after completing a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balance between work and personal responsibilities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way in which a person lives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program providing financial aid to a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requires 120 hours of coursework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trusted guide or counselor who provides information, advice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institution of higher learning which offers associate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position based on social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level of degree available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a barrier preventing minorities from rising to a position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treating people differently based on characteristics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institution of higher learning that offers training for a specific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institution or higher learning which offers teaching and research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oversimplified mental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period of reduced economic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finacial aid given to a student of an institution of higher learning by the federal government, state government, college,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time for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Institution of higher learning which offers bachelor's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state of wealth, resources and employment in a country </w:t>
            </w:r>
          </w:p>
        </w:tc>
      </w:tr>
    </w:tbl>
    <w:p>
      <w:pPr>
        <w:pStyle w:val="WordBankLarge"/>
      </w:pPr>
      <w:r>
        <w:t xml:space="preserve">   University     </w:t>
      </w:r>
      <w:r>
        <w:t xml:space="preserve">   College    </w:t>
      </w:r>
      <w:r>
        <w:t xml:space="preserve">   Technical School    </w:t>
      </w:r>
      <w:r>
        <w:t xml:space="preserve">   Community College    </w:t>
      </w:r>
      <w:r>
        <w:t xml:space="preserve">   Associates degree    </w:t>
      </w:r>
      <w:r>
        <w:t xml:space="preserve">   Batchelor's Degree    </w:t>
      </w:r>
      <w:r>
        <w:t xml:space="preserve">   Major    </w:t>
      </w:r>
      <w:r>
        <w:t xml:space="preserve">   master's degree    </w:t>
      </w:r>
      <w:r>
        <w:t xml:space="preserve">   doctoral degree    </w:t>
      </w:r>
      <w:r>
        <w:t xml:space="preserve">   extracurricular activities    </w:t>
      </w:r>
      <w:r>
        <w:t xml:space="preserve">   career ladder    </w:t>
      </w:r>
      <w:r>
        <w:t xml:space="preserve">   mentor    </w:t>
      </w:r>
      <w:r>
        <w:t xml:space="preserve">   scholarship    </w:t>
      </w:r>
      <w:r>
        <w:t xml:space="preserve">   loan    </w:t>
      </w:r>
      <w:r>
        <w:t xml:space="preserve">   grant    </w:t>
      </w:r>
      <w:r>
        <w:t xml:space="preserve">   work study program    </w:t>
      </w:r>
      <w:r>
        <w:t xml:space="preserve">   employability     </w:t>
      </w:r>
      <w:r>
        <w:t xml:space="preserve">   employability skills    </w:t>
      </w:r>
      <w:r>
        <w:t xml:space="preserve">   initiative     </w:t>
      </w:r>
      <w:r>
        <w:t xml:space="preserve">   lifestyle     </w:t>
      </w:r>
      <w:r>
        <w:t xml:space="preserve">   socioeconomic status     </w:t>
      </w:r>
      <w:r>
        <w:t xml:space="preserve">   work - life balance     </w:t>
      </w:r>
      <w:r>
        <w:t xml:space="preserve">   portfolio     </w:t>
      </w:r>
      <w:r>
        <w:t xml:space="preserve">   burnout    </w:t>
      </w:r>
      <w:r>
        <w:t xml:space="preserve">   leisure     </w:t>
      </w:r>
      <w:r>
        <w:t xml:space="preserve">   discrimination     </w:t>
      </w:r>
      <w:r>
        <w:t xml:space="preserve">   glass ceiling    </w:t>
      </w:r>
      <w:r>
        <w:t xml:space="preserve">   morale    </w:t>
      </w:r>
      <w:r>
        <w:t xml:space="preserve">   stereotype     </w:t>
      </w:r>
      <w:r>
        <w:t xml:space="preserve">   economy     </w:t>
      </w:r>
      <w:r>
        <w:t xml:space="preserve">   recession    </w:t>
      </w:r>
      <w:r>
        <w:t xml:space="preserve">   blue collar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Jobs, Careers, &amp; Education</dc:title>
  <dcterms:created xsi:type="dcterms:W3CDTF">2021-10-11T10:09:26Z</dcterms:created>
  <dcterms:modified xsi:type="dcterms:W3CDTF">2021-10-11T10:09:26Z</dcterms:modified>
</cp:coreProperties>
</file>