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and Gender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torah    </w:t>
      </w:r>
      <w:r>
        <w:t xml:space="preserve">   equality    </w:t>
      </w:r>
      <w:r>
        <w:t xml:space="preserve">   gender    </w:t>
      </w:r>
      <w:r>
        <w:t xml:space="preserve">   prejudice    </w:t>
      </w:r>
      <w:r>
        <w:t xml:space="preserve">   discrimination    </w:t>
      </w:r>
      <w:r>
        <w:t xml:space="preserve">   seating    </w:t>
      </w:r>
      <w:r>
        <w:t xml:space="preserve">   rabbi    </w:t>
      </w:r>
      <w:r>
        <w:t xml:space="preserve">   minyan    </w:t>
      </w:r>
      <w:r>
        <w:t xml:space="preserve">   worship    </w:t>
      </w:r>
      <w:r>
        <w:t xml:space="preserve">   authority    </w:t>
      </w:r>
      <w:r>
        <w:t xml:space="preserve">   reform    </w:t>
      </w:r>
      <w:r>
        <w:t xml:space="preserve">   orthodox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and Gender Equality</dc:title>
  <dcterms:created xsi:type="dcterms:W3CDTF">2021-11-10T03:45:33Z</dcterms:created>
  <dcterms:modified xsi:type="dcterms:W3CDTF">2021-11-10T03:45:33Z</dcterms:modified>
</cp:coreProperties>
</file>