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Kinetic and Potential Energy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Gravitational    </w:t>
      </w:r>
      <w:r>
        <w:t xml:space="preserve">   Chemical    </w:t>
      </w:r>
      <w:r>
        <w:t xml:space="preserve">   Rubberband    </w:t>
      </w:r>
      <w:r>
        <w:t xml:space="preserve">   Energy    </w:t>
      </w:r>
      <w:r>
        <w:t xml:space="preserve">   Transfer    </w:t>
      </w:r>
      <w:r>
        <w:t xml:space="preserve">   Mechanical    </w:t>
      </w:r>
      <w:r>
        <w:t xml:space="preserve">   Conservation    </w:t>
      </w:r>
      <w:r>
        <w:t xml:space="preserve">   Potential    </w:t>
      </w:r>
      <w:r>
        <w:t xml:space="preserve">   Biological    </w:t>
      </w:r>
      <w:r>
        <w:t xml:space="preserve">   Electrical    </w:t>
      </w:r>
      <w:r>
        <w:t xml:space="preserve">   Thermal    </w:t>
      </w:r>
      <w:r>
        <w:t xml:space="preserve">   Kinetic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Kinetic and Potential Energy </dc:title>
  <dcterms:created xsi:type="dcterms:W3CDTF">2021-10-11T10:30:13Z</dcterms:created>
  <dcterms:modified xsi:type="dcterms:W3CDTF">2021-10-11T10:30:13Z</dcterms:modified>
</cp:coreProperties>
</file>