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LEGISLATION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assessment    </w:t>
      </w:r>
      <w:r>
        <w:t xml:space="preserve">   safe    </w:t>
      </w:r>
      <w:r>
        <w:t xml:space="preserve">   legislation    </w:t>
      </w:r>
      <w:r>
        <w:t xml:space="preserve">   responsible    </w:t>
      </w:r>
      <w:r>
        <w:t xml:space="preserve">   handling plans    </w:t>
      </w:r>
      <w:r>
        <w:t xml:space="preserve">   negligence    </w:t>
      </w:r>
      <w:r>
        <w:t xml:space="preserve">   best practice    </w:t>
      </w:r>
      <w:r>
        <w:t xml:space="preserve">   risk assessment    </w:t>
      </w:r>
      <w:r>
        <w:t xml:space="preserve">   clinical judgement    </w:t>
      </w:r>
      <w:r>
        <w:t xml:space="preserve">   health and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LEGISLATION WORD SEARCH</dc:title>
  <dcterms:created xsi:type="dcterms:W3CDTF">2021-10-11T10:54:29Z</dcterms:created>
  <dcterms:modified xsi:type="dcterms:W3CDTF">2021-10-11T10:54:29Z</dcterms:modified>
</cp:coreProperties>
</file>