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sexual identity in relation to the gender to which they are attracted; the fact of being heterosexual, homosexual, or bisexual.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homosexual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dislike of or prejudice against homosexual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sexual, romantic or emotional attraction towards people regardless of their sex or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sexually attracted to people of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sexual feelings or associations.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historical derogatory term against people who were homosexual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takes part in an undertaking with another or others, especially in a business or company with shared risks and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ntersex people are born with any of several variations in sex characteristics including chromosomes, gonads, sex hormones, or genitals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riots were a series of spontaneous, violent demonstrations by members of the gay (LGBT)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sexually attracted to people of one's own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one thinks of oneself in terms of to whom one is romantically or sexually attracted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disclosing an LGBT person's sexual orientation or gender identity without that person's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people identify as, or desire to live and be accepted as, a member of the gender opposite to that assigned at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sexual attraction, or sexual behavior toward both males and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does not experience sexual attraction unless they form a emotional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denoting or relating to a person whose sense of personal identity and gender does not correspond with their birth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lesbian, gay, bisexual, and transgender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enduring pattern of romantic or sexual attraction to persons of the opposite sex or gender, the same sex or gender, or to both sexes or more than one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parades are events celebrating lesbian, gay, bisexual, transgender and intersex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shut someone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having an overlap of, or indefinite lines between, gender identity; having two or more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Heterosexual–Homosexual Rating Scale, is used in research to describe a person's sexual orientation based on their experience or response at a given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involves two or more people choosing to treat one another as family in an emotional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individuals are categorized, either by themselves or by society, as neither man nor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social role encompassing a range of behaviors and attitudes that are generally considered acceptable, appropriate, or desirable for people based on their actual or perceived sex or sexuality.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Human sexual activity, human sexual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Being recognized at gay and admitting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of a person, especially a man, homosexual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metaphor for LGBT people's self-disclosure of their sexual orientation </w:t>
            </w:r>
          </w:p>
        </w:tc>
      </w:tr>
    </w:tbl>
    <w:p>
      <w:pPr>
        <w:pStyle w:val="WordBankLarge"/>
      </w:pPr>
      <w:r>
        <w:t xml:space="preserve">   asexual    </w:t>
      </w:r>
      <w:r>
        <w:t xml:space="preserve">   bisexual    </w:t>
      </w:r>
      <w:r>
        <w:t xml:space="preserve">   coming out    </w:t>
      </w:r>
      <w:r>
        <w:t xml:space="preserve">   demisexual    </w:t>
      </w:r>
      <w:r>
        <w:t xml:space="preserve">   family of choice    </w:t>
      </w:r>
      <w:r>
        <w:t xml:space="preserve">   gay    </w:t>
      </w:r>
      <w:r>
        <w:t xml:space="preserve">   gender fluid    </w:t>
      </w:r>
      <w:r>
        <w:t xml:space="preserve">   closeted    </w:t>
      </w:r>
      <w:r>
        <w:t xml:space="preserve">   gender role    </w:t>
      </w:r>
      <w:r>
        <w:t xml:space="preserve">   lgbtq    </w:t>
      </w:r>
      <w:r>
        <w:t xml:space="preserve">   homosexual    </w:t>
      </w:r>
      <w:r>
        <w:t xml:space="preserve">   hetrosexual    </w:t>
      </w:r>
      <w:r>
        <w:t xml:space="preserve">   intersex    </w:t>
      </w:r>
      <w:r>
        <w:t xml:space="preserve">   homophobia    </w:t>
      </w:r>
      <w:r>
        <w:t xml:space="preserve">   lesbian    </w:t>
      </w:r>
      <w:r>
        <w:t xml:space="preserve">   Outing someone     </w:t>
      </w:r>
      <w:r>
        <w:t xml:space="preserve">   Pansexual    </w:t>
      </w:r>
      <w:r>
        <w:t xml:space="preserve">   Partner    </w:t>
      </w:r>
      <w:r>
        <w:t xml:space="preserve">   Queer    </w:t>
      </w:r>
      <w:r>
        <w:t xml:space="preserve">   Pride parade    </w:t>
      </w:r>
      <w:r>
        <w:t xml:space="preserve">   Sexual behaviour     </w:t>
      </w:r>
      <w:r>
        <w:t xml:space="preserve">   Sexual identity     </w:t>
      </w:r>
      <w:r>
        <w:t xml:space="preserve">   Sexual orientation     </w:t>
      </w:r>
      <w:r>
        <w:t xml:space="preserve">   Sexual preference     </w:t>
      </w:r>
      <w:r>
        <w:t xml:space="preserve">   Stonewall    </w:t>
      </w:r>
      <w:r>
        <w:t xml:space="preserve">   Third gender     </w:t>
      </w:r>
      <w:r>
        <w:t xml:space="preserve">   Transgender    </w:t>
      </w:r>
      <w:r>
        <w:t xml:space="preserve">   Transsexual    </w:t>
      </w:r>
      <w:r>
        <w:t xml:space="preserve">   Kinsey scale    </w:t>
      </w:r>
      <w:r>
        <w:t xml:space="preserve">  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 Crossword</dc:title>
  <dcterms:created xsi:type="dcterms:W3CDTF">2021-10-11T11:07:20Z</dcterms:created>
  <dcterms:modified xsi:type="dcterms:W3CDTF">2021-10-11T11:07:20Z</dcterms:modified>
</cp:coreProperties>
</file>